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BE" w:rsidRPr="00461D85" w:rsidRDefault="00A53087" w:rsidP="00A53087">
      <w:pPr>
        <w:jc w:val="center"/>
        <w:rPr>
          <w:b/>
          <w:sz w:val="28"/>
        </w:rPr>
      </w:pPr>
      <w:bookmarkStart w:id="0" w:name="OLE_LINK9"/>
      <w:bookmarkStart w:id="1" w:name="OLE_LINK10"/>
      <w:r w:rsidRPr="00461D85">
        <w:rPr>
          <w:b/>
          <w:sz w:val="28"/>
        </w:rPr>
        <w:t>Propuestas políticas vs. estrategia de campaña. Análisis de los encuadres ofrecidos por la prensa digital mexicana en la información sobre la campaña electoral de 2012 a la Presidencia de Méxic</w:t>
      </w:r>
      <w:r w:rsidR="00461D85">
        <w:rPr>
          <w:b/>
          <w:sz w:val="28"/>
        </w:rPr>
        <w:t>o</w:t>
      </w:r>
    </w:p>
    <w:p w:rsidR="00773ABE" w:rsidRPr="00A53087" w:rsidRDefault="00773ABE" w:rsidP="00A53087">
      <w:pPr>
        <w:jc w:val="center"/>
        <w:rPr>
          <w:b/>
        </w:rPr>
      </w:pPr>
    </w:p>
    <w:p w:rsidR="0000128D" w:rsidRPr="00A53087" w:rsidRDefault="0000128D" w:rsidP="00A53087">
      <w:pPr>
        <w:jc w:val="center"/>
        <w:rPr>
          <w:b/>
        </w:rPr>
      </w:pPr>
    </w:p>
    <w:p w:rsidR="00773ABE" w:rsidRPr="00A53087" w:rsidRDefault="00773ABE" w:rsidP="00A53087">
      <w:pPr>
        <w:rPr>
          <w:b/>
        </w:rPr>
      </w:pPr>
      <w:r w:rsidRPr="00A53087">
        <w:rPr>
          <w:b/>
        </w:rPr>
        <w:t xml:space="preserve">Autor: </w:t>
      </w:r>
      <w:r w:rsidRPr="00A53087">
        <w:t>Carlos Muñiz</w:t>
      </w:r>
      <w:r w:rsidR="00A53087">
        <w:t>, Universidad Autónoma de Nuevo León,</w:t>
      </w:r>
      <w:r w:rsidRPr="00A53087">
        <w:t xml:space="preserve"> carmunizmuriel@gmail.com</w:t>
      </w:r>
      <w:r w:rsidRPr="00A53087">
        <w:rPr>
          <w:b/>
        </w:rPr>
        <w:t xml:space="preserve"> </w:t>
      </w:r>
    </w:p>
    <w:p w:rsidR="008E3677" w:rsidRPr="00A53087" w:rsidRDefault="00773ABE" w:rsidP="00A53087">
      <w:r w:rsidRPr="00A53087">
        <w:rPr>
          <w:b/>
        </w:rPr>
        <w:t xml:space="preserve">Co-autor: </w:t>
      </w:r>
      <w:r w:rsidR="008E3677" w:rsidRPr="00A53087">
        <w:t>Alan Romero</w:t>
      </w:r>
      <w:r w:rsidR="00A53087">
        <w:t>, Universidad Autónoma de Nuevo León,</w:t>
      </w:r>
      <w:r w:rsidR="00A53087" w:rsidRPr="00A53087">
        <w:t xml:space="preserve"> </w:t>
      </w:r>
      <w:r w:rsidR="008E3677" w:rsidRPr="00A53087">
        <w:t xml:space="preserve">alan.romerov@gmail.com </w:t>
      </w:r>
    </w:p>
    <w:p w:rsidR="00773ABE" w:rsidRPr="00A53087" w:rsidRDefault="00773ABE" w:rsidP="00A53087">
      <w:pPr>
        <w:jc w:val="center"/>
        <w:rPr>
          <w:b/>
        </w:rPr>
      </w:pPr>
    </w:p>
    <w:p w:rsidR="00773ABE" w:rsidRPr="00A53087" w:rsidRDefault="00773ABE" w:rsidP="00A53087">
      <w:pPr>
        <w:jc w:val="center"/>
        <w:rPr>
          <w:b/>
        </w:rPr>
      </w:pPr>
    </w:p>
    <w:p w:rsidR="0000128D" w:rsidRPr="00A53087" w:rsidRDefault="0000128D" w:rsidP="00A53087">
      <w:pPr>
        <w:jc w:val="center"/>
        <w:rPr>
          <w:b/>
        </w:rPr>
      </w:pPr>
    </w:p>
    <w:p w:rsidR="00773ABE" w:rsidRPr="00A53087" w:rsidRDefault="00A53087" w:rsidP="00A53087">
      <w:pPr>
        <w:jc w:val="center"/>
        <w:rPr>
          <w:b/>
        </w:rPr>
      </w:pPr>
      <w:r w:rsidRPr="00A53087">
        <w:rPr>
          <w:b/>
        </w:rPr>
        <w:t>Trabajo preparado para su presentación en el VII Congreso Latinoamericano de Ciencia Política, organizado por la Asociación Latinoamericana de Ciencia Política (ALACIP). Bogotá, 25 al 27 de septiembre de 2013</w:t>
      </w:r>
      <w:r w:rsidR="00773ABE" w:rsidRPr="00A53087">
        <w:rPr>
          <w:b/>
        </w:rPr>
        <w:t>.</w:t>
      </w:r>
    </w:p>
    <w:p w:rsidR="0000128D" w:rsidRPr="00A53087" w:rsidRDefault="0000128D" w:rsidP="00A53087">
      <w:pPr>
        <w:jc w:val="center"/>
        <w:rPr>
          <w:b/>
        </w:rPr>
      </w:pPr>
    </w:p>
    <w:p w:rsidR="0000128D" w:rsidRPr="00461D85" w:rsidRDefault="0000128D" w:rsidP="00A53087">
      <w:pPr>
        <w:jc w:val="center"/>
        <w:rPr>
          <w:b/>
        </w:rPr>
      </w:pPr>
    </w:p>
    <w:p w:rsidR="00461D85" w:rsidRPr="00461D85" w:rsidRDefault="00461D85" w:rsidP="00461D85">
      <w:pPr>
        <w:spacing w:after="200"/>
        <w:jc w:val="both"/>
      </w:pPr>
    </w:p>
    <w:p w:rsidR="0000128D" w:rsidRPr="00461D85" w:rsidRDefault="00A53087" w:rsidP="00461D85">
      <w:pPr>
        <w:spacing w:after="200"/>
        <w:jc w:val="both"/>
        <w:rPr>
          <w:snapToGrid w:val="0"/>
        </w:rPr>
      </w:pPr>
      <w:r w:rsidRPr="00461D85">
        <w:t xml:space="preserve">Este estudio forma parte del proyecto de investigación </w:t>
      </w:r>
      <w:r w:rsidRPr="00461D85">
        <w:rPr>
          <w:snapToGrid w:val="0"/>
        </w:rPr>
        <w:t>financiado por la Secretaría de Educación Pública, PROMEP durante 2010 y 2011 (Clave PROMEP/103.5/10/3889) y por el Programa de Apoyo a la Investigación Científica y Tecnológica (PAICYT) de la UANL (Clave CS453-10)</w:t>
      </w:r>
      <w:r w:rsidR="00461D85" w:rsidRPr="00461D85">
        <w:rPr>
          <w:snapToGrid w:val="0"/>
        </w:rPr>
        <w:t>, ambos dirigidos por el Dr. Carlos Muñiz Muriel</w:t>
      </w:r>
      <w:r w:rsidRPr="00461D85">
        <w:rPr>
          <w:snapToGrid w:val="0"/>
        </w:rPr>
        <w:t>.</w:t>
      </w:r>
    </w:p>
    <w:p w:rsidR="00A53087" w:rsidRPr="00461D85" w:rsidRDefault="00A53087" w:rsidP="00A53087">
      <w:pPr>
        <w:spacing w:after="200"/>
      </w:pPr>
    </w:p>
    <w:p w:rsidR="00461D85" w:rsidRPr="00461D85" w:rsidRDefault="00461D85" w:rsidP="00A53087">
      <w:pPr>
        <w:spacing w:after="200"/>
        <w:rPr>
          <w:b/>
        </w:rPr>
      </w:pPr>
      <w:r w:rsidRPr="00461D85">
        <w:rPr>
          <w:b/>
        </w:rPr>
        <w:t>Resumen:</w:t>
      </w:r>
    </w:p>
    <w:p w:rsidR="00461D85" w:rsidRPr="003B22B0" w:rsidRDefault="00461D85" w:rsidP="00461D85">
      <w:pPr>
        <w:ind w:firstLine="708"/>
        <w:jc w:val="both"/>
        <w:rPr>
          <w:lang w:val="es-MX"/>
        </w:rPr>
      </w:pPr>
      <w:r>
        <w:rPr>
          <w:lang w:val="es-MX"/>
        </w:rPr>
        <w:t xml:space="preserve">Los medios de comunicación poseen la capacidad, no sólo de informar sobre los asuntos o hechos que ocurren en la sociedad, sino también de ofrecer una guía de comprensión de los mismos acontecimientos que la audiencia puede utilizar para interpretar esa información y tomar sus decisiones. </w:t>
      </w:r>
      <w:r>
        <w:t xml:space="preserve">De esta manera, los </w:t>
      </w:r>
      <w:r w:rsidRPr="00B50936">
        <w:rPr>
          <w:rFonts w:eastAsia="Calibri"/>
        </w:rPr>
        <w:t>encuadre</w:t>
      </w:r>
      <w:r>
        <w:rPr>
          <w:rFonts w:eastAsia="Calibri"/>
        </w:rPr>
        <w:t>s</w:t>
      </w:r>
      <w:r w:rsidRPr="00B50936">
        <w:rPr>
          <w:rFonts w:eastAsia="Calibri"/>
        </w:rPr>
        <w:t xml:space="preserve"> mediático</w:t>
      </w:r>
      <w:r>
        <w:rPr>
          <w:rFonts w:eastAsia="Calibri"/>
        </w:rPr>
        <w:t>s</w:t>
      </w:r>
      <w:r w:rsidRPr="00B50936">
        <w:rPr>
          <w:rFonts w:eastAsia="Calibri"/>
        </w:rPr>
        <w:t xml:space="preserve"> (</w:t>
      </w:r>
      <w:r w:rsidRPr="00B50936">
        <w:rPr>
          <w:rFonts w:eastAsia="Calibri"/>
          <w:i/>
        </w:rPr>
        <w:t xml:space="preserve">media </w:t>
      </w:r>
      <w:proofErr w:type="spellStart"/>
      <w:r w:rsidRPr="00B50936">
        <w:rPr>
          <w:rFonts w:eastAsia="Calibri"/>
          <w:i/>
        </w:rPr>
        <w:t>frame</w:t>
      </w:r>
      <w:proofErr w:type="spellEnd"/>
      <w:r w:rsidRPr="00B50936">
        <w:rPr>
          <w:rFonts w:eastAsia="Calibri"/>
        </w:rPr>
        <w:t xml:space="preserve">) </w:t>
      </w:r>
      <w:r>
        <w:rPr>
          <w:rFonts w:eastAsia="Calibri"/>
        </w:rPr>
        <w:t>transmitidos por los medios se alojan en la memoria del público</w:t>
      </w:r>
      <w:r w:rsidRPr="00B50936">
        <w:rPr>
          <w:rFonts w:eastAsia="Calibri"/>
        </w:rPr>
        <w:t xml:space="preserve"> (</w:t>
      </w:r>
      <w:proofErr w:type="spellStart"/>
      <w:r w:rsidRPr="00B50936">
        <w:rPr>
          <w:rFonts w:eastAsia="Calibri"/>
          <w:i/>
        </w:rPr>
        <w:t>audience</w:t>
      </w:r>
      <w:proofErr w:type="spellEnd"/>
      <w:r w:rsidRPr="00B50936">
        <w:rPr>
          <w:rFonts w:eastAsia="Calibri"/>
          <w:i/>
        </w:rPr>
        <w:t xml:space="preserve"> </w:t>
      </w:r>
      <w:proofErr w:type="spellStart"/>
      <w:r w:rsidRPr="00B50936">
        <w:rPr>
          <w:rFonts w:eastAsia="Calibri"/>
          <w:i/>
        </w:rPr>
        <w:t>frame</w:t>
      </w:r>
      <w:proofErr w:type="spellEnd"/>
      <w:r w:rsidRPr="00B50936">
        <w:rPr>
          <w:rFonts w:eastAsia="Calibri"/>
        </w:rPr>
        <w:t xml:space="preserve">) </w:t>
      </w:r>
      <w:r>
        <w:rPr>
          <w:rFonts w:eastAsia="Calibri"/>
        </w:rPr>
        <w:t xml:space="preserve">y son utilizados </w:t>
      </w:r>
      <w:r w:rsidRPr="00B50936">
        <w:rPr>
          <w:rFonts w:eastAsia="Calibri"/>
        </w:rPr>
        <w:t xml:space="preserve">en momentos posteriores </w:t>
      </w:r>
      <w:r>
        <w:rPr>
          <w:rFonts w:eastAsia="Calibri"/>
        </w:rPr>
        <w:t xml:space="preserve">para procesar </w:t>
      </w:r>
      <w:r w:rsidRPr="00B50936">
        <w:rPr>
          <w:rFonts w:eastAsia="Calibri"/>
        </w:rPr>
        <w:t>la información recibida y tomar decisiones al respecto. Por tanto, los encuadres noticiosos juegan un rol importante en la transmisión de la información, puesto que pueden llegar a influir en la interpretación que de las noticias haga el público</w:t>
      </w:r>
      <w:r>
        <w:rPr>
          <w:rFonts w:eastAsia="Calibri"/>
        </w:rPr>
        <w:t>, en función de los elementos utilizados en los mismos para su elaboración</w:t>
      </w:r>
      <w:r w:rsidRPr="00B50936">
        <w:rPr>
          <w:rFonts w:eastAsia="Calibri"/>
        </w:rPr>
        <w:t xml:space="preserve">. </w:t>
      </w:r>
      <w:r>
        <w:rPr>
          <w:lang w:val="es-MX"/>
        </w:rPr>
        <w:t xml:space="preserve">En el caso de las noticias sobre política y más en concreto durante las campañas electorales, se ha detectado la presencia de dos tratamientos prioritarios: uno estratégico que prima la confrontación entre los candidatos y la </w:t>
      </w:r>
      <w:r w:rsidRPr="00881DF5">
        <w:t>estrategia de campaña</w:t>
      </w:r>
      <w:r>
        <w:rPr>
          <w:lang w:val="es-MX"/>
        </w:rPr>
        <w:t xml:space="preserve"> y otro temático que privilegia la información sobre </w:t>
      </w:r>
      <w:r w:rsidRPr="00881DF5">
        <w:t>propuestas programáticas</w:t>
      </w:r>
      <w:r>
        <w:rPr>
          <w:lang w:val="es-MX"/>
        </w:rPr>
        <w:t>.</w:t>
      </w:r>
      <w:r w:rsidRPr="004A1B1E">
        <w:t xml:space="preserve"> </w:t>
      </w:r>
      <w:r>
        <w:rPr>
          <w:lang w:val="es-MX"/>
        </w:rPr>
        <w:t>A fin de determinar la estrategia seguida por los periódicos digitales mexicanos durante la pasada campaña electoral, se analizó un total de 1451 noticias publicadas durante los meses de abril, mayo y junio de 2012 en cinco diarios mexicanos. Los resultados muestran un uso claramente mayoritario del encuadre estratégico en la cobertura de la campaña electoral, más marcado en ciertos periódicos, normalmente vinculados con los partidos de los principales candidatos de las elecciones.</w:t>
      </w:r>
    </w:p>
    <w:p w:rsidR="00461D85" w:rsidRDefault="00461D85" w:rsidP="00461D85">
      <w:pPr>
        <w:jc w:val="both"/>
        <w:rPr>
          <w:b/>
        </w:rPr>
      </w:pPr>
    </w:p>
    <w:p w:rsidR="00461D85" w:rsidRPr="000B2D5D" w:rsidRDefault="00461D85" w:rsidP="00461D85">
      <w:pPr>
        <w:jc w:val="both"/>
      </w:pPr>
      <w:r w:rsidRPr="000B2D5D">
        <w:rPr>
          <w:b/>
        </w:rPr>
        <w:t xml:space="preserve">Palabras clave: </w:t>
      </w:r>
      <w:proofErr w:type="spellStart"/>
      <w:r>
        <w:t>framing</w:t>
      </w:r>
      <w:proofErr w:type="spellEnd"/>
      <w:r>
        <w:t>, noticias, elecciones, política, periódicos digitales</w:t>
      </w:r>
    </w:p>
    <w:p w:rsidR="004C02B6" w:rsidRDefault="004C02B6">
      <w:pPr>
        <w:spacing w:after="200" w:line="276" w:lineRule="auto"/>
      </w:pPr>
      <w:r>
        <w:br w:type="page"/>
      </w:r>
    </w:p>
    <w:p w:rsidR="00393F73" w:rsidRPr="00A53087" w:rsidRDefault="00AA16BD" w:rsidP="00A53087">
      <w:pPr>
        <w:jc w:val="both"/>
        <w:rPr>
          <w:b/>
        </w:rPr>
      </w:pPr>
      <w:r w:rsidRPr="00A53087">
        <w:rPr>
          <w:b/>
        </w:rPr>
        <w:lastRenderedPageBreak/>
        <w:t xml:space="preserve">1. </w:t>
      </w:r>
      <w:r w:rsidR="00393F73" w:rsidRPr="00A53087">
        <w:rPr>
          <w:b/>
        </w:rPr>
        <w:t>Introducción</w:t>
      </w:r>
    </w:p>
    <w:bookmarkEnd w:id="0"/>
    <w:bookmarkEnd w:id="1"/>
    <w:p w:rsidR="0000128D" w:rsidRPr="00A53087" w:rsidRDefault="0000128D" w:rsidP="00A53087"/>
    <w:p w:rsidR="004C02B6" w:rsidRPr="001C3314" w:rsidRDefault="004C02B6" w:rsidP="004C02B6">
      <w:pPr>
        <w:adjustRightInd w:val="0"/>
        <w:snapToGrid w:val="0"/>
        <w:ind w:firstLine="708"/>
        <w:jc w:val="both"/>
        <w:rPr>
          <w:lang w:val="es-MX"/>
        </w:rPr>
      </w:pPr>
      <w:r w:rsidRPr="001C3314">
        <w:rPr>
          <w:lang w:val="es-MX"/>
        </w:rPr>
        <w:t>Sin duda, un escenario electoral ofrece una oportunidad única para contrastar las diferentes propuestas programáticas e ideológicas planteadas por los partidos políticos y sus candidatos a la ciudadanía. Si bien un escenario de campaña en un referéndum plantea este "choque" de posturas, aunque está circunscrita al debate de dos posturas, pro y contra, sobre el tema sometido a plebiscito (</w:t>
      </w:r>
      <w:proofErr w:type="spellStart"/>
      <w:r w:rsidRPr="001C3314">
        <w:rPr>
          <w:lang w:val="es-MX"/>
        </w:rPr>
        <w:t>Matthes</w:t>
      </w:r>
      <w:proofErr w:type="spellEnd"/>
      <w:r w:rsidRPr="001C3314">
        <w:rPr>
          <w:lang w:val="es-MX"/>
        </w:rPr>
        <w:t xml:space="preserve">, 2012). Sin embargo, una campaña electoral para la elección de cargos de representación refleja más allá del debate sobre tópicos o asuntos concretos, un escenario donde entra en juego la estrategia de los candidatos para lograr un mejor rédito electoral entre los ciudadanos. En este contexto, el papel de los medios de comunicación, en cuanto que mecanismos de traslación y traducción de la realidad política a la ciudadanía, cobra un peso importante. La manera en que los medios ofrezcan cobertura a estos procesos de escrutinio del electorado puede tener un peso muy importante en la conformación de una opinión pública más o menos activa, en particular a través del tratamiento informativo o </w:t>
      </w:r>
      <w:proofErr w:type="spellStart"/>
      <w:r w:rsidRPr="001C3314">
        <w:rPr>
          <w:i/>
          <w:lang w:val="es-MX"/>
        </w:rPr>
        <w:t>framing</w:t>
      </w:r>
      <w:proofErr w:type="spellEnd"/>
      <w:r w:rsidRPr="001C3314">
        <w:rPr>
          <w:lang w:val="es-MX"/>
        </w:rPr>
        <w:t xml:space="preserve"> realizado (de </w:t>
      </w:r>
      <w:proofErr w:type="spellStart"/>
      <w:r w:rsidRPr="001C3314">
        <w:rPr>
          <w:lang w:val="es-MX"/>
        </w:rPr>
        <w:t>Vreese</w:t>
      </w:r>
      <w:proofErr w:type="spellEnd"/>
      <w:r w:rsidRPr="001C3314">
        <w:rPr>
          <w:lang w:val="es-MX"/>
        </w:rPr>
        <w:t xml:space="preserve">, </w:t>
      </w:r>
      <w:proofErr w:type="spellStart"/>
      <w:r w:rsidRPr="001C3314">
        <w:rPr>
          <w:lang w:val="es-MX"/>
        </w:rPr>
        <w:t>Boomgaarden</w:t>
      </w:r>
      <w:proofErr w:type="spellEnd"/>
      <w:r w:rsidRPr="001C3314">
        <w:rPr>
          <w:lang w:val="es-MX"/>
        </w:rPr>
        <w:t xml:space="preserve"> y </w:t>
      </w:r>
      <w:proofErr w:type="spellStart"/>
      <w:r w:rsidRPr="001C3314">
        <w:rPr>
          <w:lang w:val="es-MX"/>
        </w:rPr>
        <w:t>Semetko</w:t>
      </w:r>
      <w:proofErr w:type="spellEnd"/>
      <w:r w:rsidRPr="001C3314">
        <w:rPr>
          <w:lang w:val="es-MX"/>
        </w:rPr>
        <w:t>, 2011).</w:t>
      </w:r>
    </w:p>
    <w:p w:rsidR="004C02B6" w:rsidRDefault="004C02B6" w:rsidP="004C02B6">
      <w:pPr>
        <w:adjustRightInd w:val="0"/>
        <w:snapToGrid w:val="0"/>
        <w:jc w:val="both"/>
        <w:rPr>
          <w:lang w:val="es-MX"/>
        </w:rPr>
      </w:pPr>
      <w:r w:rsidRPr="001C3314">
        <w:rPr>
          <w:lang w:val="es-MX"/>
        </w:rPr>
        <w:tab/>
      </w:r>
    </w:p>
    <w:p w:rsidR="004C02B6" w:rsidRPr="001C3314" w:rsidRDefault="004C02B6" w:rsidP="004C02B6">
      <w:pPr>
        <w:adjustRightInd w:val="0"/>
        <w:snapToGrid w:val="0"/>
        <w:jc w:val="both"/>
        <w:rPr>
          <w:lang w:val="es-MX"/>
        </w:rPr>
      </w:pPr>
      <w:r>
        <w:rPr>
          <w:lang w:val="es-MX"/>
        </w:rPr>
        <w:tab/>
      </w:r>
      <w:r w:rsidRPr="001C3314">
        <w:rPr>
          <w:lang w:val="es-MX"/>
        </w:rPr>
        <w:t xml:space="preserve">Al respecto, recientemente </w:t>
      </w:r>
      <w:proofErr w:type="spellStart"/>
      <w:r w:rsidRPr="001C3314">
        <w:rPr>
          <w:lang w:val="es-MX"/>
        </w:rPr>
        <w:t>Scheufele</w:t>
      </w:r>
      <w:proofErr w:type="spellEnd"/>
      <w:r w:rsidRPr="001C3314">
        <w:rPr>
          <w:lang w:val="es-MX"/>
        </w:rPr>
        <w:t xml:space="preserve"> e </w:t>
      </w:r>
      <w:proofErr w:type="spellStart"/>
      <w:r w:rsidRPr="001C3314">
        <w:rPr>
          <w:lang w:val="es-MX"/>
        </w:rPr>
        <w:t>Iyengar</w:t>
      </w:r>
      <w:proofErr w:type="spellEnd"/>
      <w:r w:rsidRPr="001C3314">
        <w:rPr>
          <w:lang w:val="es-MX"/>
        </w:rPr>
        <w:t xml:space="preserve"> (en prensa) han señalado que el </w:t>
      </w:r>
      <w:proofErr w:type="spellStart"/>
      <w:r w:rsidRPr="001C3314">
        <w:rPr>
          <w:i/>
          <w:lang w:val="es-MX"/>
        </w:rPr>
        <w:t>framing</w:t>
      </w:r>
      <w:proofErr w:type="spellEnd"/>
      <w:r w:rsidRPr="001C3314">
        <w:rPr>
          <w:lang w:val="es-MX"/>
        </w:rPr>
        <w:t xml:space="preserve"> o tratamiento informativo constituye un proceso que conlleva la formación de opinión, es decir, deriva en un efecto cognitivo sobre la audiencia que consume los medios. En este proceso de construcción de la realidad a través del </w:t>
      </w:r>
      <w:proofErr w:type="spellStart"/>
      <w:r w:rsidRPr="001C3314">
        <w:rPr>
          <w:i/>
          <w:lang w:val="es-MX"/>
        </w:rPr>
        <w:t>framing</w:t>
      </w:r>
      <w:proofErr w:type="spellEnd"/>
      <w:r w:rsidRPr="001C3314">
        <w:rPr>
          <w:lang w:val="es-MX"/>
        </w:rPr>
        <w:t xml:space="preserve"> prevalecen, según los autores, los modos de presentación de la realidad presentes en la retórica utilizada por las élites, así como cobertura que hagan los medios de esos hechos o asuntos ocurridos en el terreno político. No hay duda, por tanto, del especial papel que los medios de comunicación juegan en las actuales democracias, pues constituyen en gran medida la principal fuente informativa para una parte de la sociedad (</w:t>
      </w:r>
      <w:proofErr w:type="spellStart"/>
      <w:r w:rsidRPr="001C3314">
        <w:rPr>
          <w:lang w:val="es-MX"/>
        </w:rPr>
        <w:t>Dimitrova</w:t>
      </w:r>
      <w:proofErr w:type="spellEnd"/>
      <w:r w:rsidRPr="001C3314">
        <w:rPr>
          <w:lang w:val="es-MX"/>
        </w:rPr>
        <w:t xml:space="preserve"> y </w:t>
      </w:r>
      <w:proofErr w:type="spellStart"/>
      <w:r w:rsidRPr="001C3314">
        <w:rPr>
          <w:lang w:val="es-MX"/>
        </w:rPr>
        <w:t>Strömbäck</w:t>
      </w:r>
      <w:proofErr w:type="spellEnd"/>
      <w:r w:rsidRPr="001C3314">
        <w:rPr>
          <w:lang w:val="es-MX"/>
        </w:rPr>
        <w:t xml:space="preserve">, 2011; </w:t>
      </w:r>
      <w:proofErr w:type="spellStart"/>
      <w:r w:rsidRPr="001C3314">
        <w:rPr>
          <w:lang w:val="es-MX"/>
        </w:rPr>
        <w:t>Elenbaas</w:t>
      </w:r>
      <w:proofErr w:type="spellEnd"/>
      <w:r w:rsidRPr="001C3314">
        <w:rPr>
          <w:lang w:val="es-MX"/>
        </w:rPr>
        <w:t xml:space="preserve"> y de </w:t>
      </w:r>
      <w:proofErr w:type="spellStart"/>
      <w:r w:rsidRPr="001C3314">
        <w:rPr>
          <w:lang w:val="es-MX"/>
        </w:rPr>
        <w:t>Vreese</w:t>
      </w:r>
      <w:proofErr w:type="spellEnd"/>
      <w:r w:rsidRPr="001C3314">
        <w:rPr>
          <w:lang w:val="es-MX"/>
        </w:rPr>
        <w:t>, 2008; Muñiz, 2012). Ser ha llegado a insinuar que la cobertura que los medios realizan de la realidad política no deja de ser la moneda o herramienta con la que operan las democracias (</w:t>
      </w:r>
      <w:proofErr w:type="spellStart"/>
      <w:r w:rsidRPr="001C3314">
        <w:rPr>
          <w:lang w:val="es-MX"/>
        </w:rPr>
        <w:t>Gerth</w:t>
      </w:r>
      <w:proofErr w:type="spellEnd"/>
      <w:r w:rsidRPr="001C3314">
        <w:rPr>
          <w:lang w:val="es-MX"/>
        </w:rPr>
        <w:t xml:space="preserve"> y </w:t>
      </w:r>
      <w:proofErr w:type="spellStart"/>
      <w:r w:rsidRPr="001C3314">
        <w:rPr>
          <w:lang w:val="es-MX"/>
        </w:rPr>
        <w:t>Siegert</w:t>
      </w:r>
      <w:proofErr w:type="spellEnd"/>
      <w:r w:rsidRPr="001C3314">
        <w:rPr>
          <w:lang w:val="es-MX"/>
        </w:rPr>
        <w:t xml:space="preserve">, 2012). </w:t>
      </w:r>
    </w:p>
    <w:p w:rsidR="004C02B6" w:rsidRDefault="004C02B6" w:rsidP="004C02B6">
      <w:pPr>
        <w:adjustRightInd w:val="0"/>
        <w:snapToGrid w:val="0"/>
        <w:jc w:val="both"/>
        <w:rPr>
          <w:lang w:val="es-MX"/>
        </w:rPr>
      </w:pPr>
    </w:p>
    <w:p w:rsidR="004C02B6" w:rsidRPr="001C3314" w:rsidRDefault="004C02B6" w:rsidP="004C02B6">
      <w:pPr>
        <w:adjustRightInd w:val="0"/>
        <w:snapToGrid w:val="0"/>
        <w:jc w:val="both"/>
        <w:rPr>
          <w:lang w:val="es-MX"/>
        </w:rPr>
      </w:pPr>
      <w:r w:rsidRPr="001C3314">
        <w:rPr>
          <w:lang w:val="es-MX"/>
        </w:rPr>
        <w:tab/>
        <w:t>Sin embargo, la audiencia no es pasiva y consume estos medios de manera inocua, más aún en las sociedades actuales donde es cada vez mayor la posesión de habilidades y recursos políticos (como la educación o la conciencia política) lo que ha potenciado un proceso de movilización cognitiva (Dalton, 2006). Los ciudadanos se exponen a los contenidos mediáticos cargados de predisposiciones políticas, como sofisticación política, sentimiento de eficacia política, interés, etc., que moderan los efectos de esos contenidos de los medios sobre política (</w:t>
      </w:r>
      <w:r w:rsidRPr="001C3314">
        <w:t xml:space="preserve">Valentino, </w:t>
      </w:r>
      <w:proofErr w:type="spellStart"/>
      <w:r w:rsidRPr="001C3314">
        <w:t>Beckmann</w:t>
      </w:r>
      <w:proofErr w:type="spellEnd"/>
      <w:r w:rsidRPr="001C3314">
        <w:t xml:space="preserve"> y </w:t>
      </w:r>
      <w:proofErr w:type="spellStart"/>
      <w:r w:rsidRPr="001C3314">
        <w:t>Buhr</w:t>
      </w:r>
      <w:proofErr w:type="spellEnd"/>
      <w:r w:rsidRPr="001C3314">
        <w:t>,</w:t>
      </w:r>
      <w:r w:rsidRPr="001C3314">
        <w:rPr>
          <w:lang w:val="es-MX"/>
        </w:rPr>
        <w:t xml:space="preserve"> 2001). Estos procesos intermedios, como el nivel de conversación política mantenida (</w:t>
      </w:r>
      <w:proofErr w:type="spellStart"/>
      <w:r w:rsidRPr="001C3314">
        <w:rPr>
          <w:lang w:val="es-MX"/>
        </w:rPr>
        <w:t>Shah</w:t>
      </w:r>
      <w:proofErr w:type="spellEnd"/>
      <w:r w:rsidRPr="001C3314">
        <w:rPr>
          <w:lang w:val="es-MX"/>
        </w:rPr>
        <w:t xml:space="preserve"> et al., 2007) pueden tener un impacto en los niveles de participación política, tanto convencional como no convencional. De hecho, junto a los impactos cognitivos del </w:t>
      </w:r>
      <w:proofErr w:type="spellStart"/>
      <w:r w:rsidRPr="001C3314">
        <w:rPr>
          <w:i/>
          <w:lang w:val="es-MX"/>
        </w:rPr>
        <w:t>framing</w:t>
      </w:r>
      <w:proofErr w:type="spellEnd"/>
      <w:r w:rsidRPr="001C3314">
        <w:rPr>
          <w:lang w:val="es-MX"/>
        </w:rPr>
        <w:t xml:space="preserve">, se presume que el tratamiento informativo también podría llegar a producir efectos sobre el comportamiento de las personas que consumen las informaciones (de </w:t>
      </w:r>
      <w:proofErr w:type="spellStart"/>
      <w:r w:rsidRPr="001C3314">
        <w:rPr>
          <w:lang w:val="es-MX"/>
        </w:rPr>
        <w:t>Vreese</w:t>
      </w:r>
      <w:proofErr w:type="spellEnd"/>
      <w:r w:rsidRPr="001C3314">
        <w:rPr>
          <w:lang w:val="es-MX"/>
        </w:rPr>
        <w:t xml:space="preserve">, 2003; </w:t>
      </w:r>
      <w:proofErr w:type="spellStart"/>
      <w:r w:rsidRPr="001C3314">
        <w:rPr>
          <w:lang w:val="es-MX"/>
        </w:rPr>
        <w:t>Shah</w:t>
      </w:r>
      <w:proofErr w:type="spellEnd"/>
      <w:r w:rsidRPr="001C3314">
        <w:rPr>
          <w:lang w:val="es-MX"/>
        </w:rPr>
        <w:t xml:space="preserve"> et al., 2007). Por ejemplo, los </w:t>
      </w:r>
      <w:proofErr w:type="spellStart"/>
      <w:r w:rsidRPr="001C3314">
        <w:rPr>
          <w:i/>
          <w:lang w:val="es-MX"/>
        </w:rPr>
        <w:t>frames</w:t>
      </w:r>
      <w:proofErr w:type="spellEnd"/>
      <w:r w:rsidRPr="001C3314">
        <w:rPr>
          <w:lang w:val="es-MX"/>
        </w:rPr>
        <w:t xml:space="preserve"> puedan afectar la estrategia que los votantes siguen de cara a tomar sus decisiones sobre la elección de los posibles candidatos políticos. Lo que llevaría a las elites y candidatos a tratar de introducir sus encuadres en el entramado informativo para influir en los comportamientos de los ciudadanos (</w:t>
      </w:r>
      <w:proofErr w:type="spellStart"/>
      <w:r w:rsidRPr="001C3314">
        <w:rPr>
          <w:lang w:val="es-MX"/>
        </w:rPr>
        <w:t>Druckman</w:t>
      </w:r>
      <w:proofErr w:type="spellEnd"/>
      <w:r w:rsidRPr="001C3314">
        <w:rPr>
          <w:lang w:val="es-MX"/>
        </w:rPr>
        <w:t xml:space="preserve"> y Nelson, 2003; </w:t>
      </w:r>
      <w:proofErr w:type="spellStart"/>
      <w:r w:rsidRPr="001C3314">
        <w:rPr>
          <w:lang w:val="es-MX"/>
        </w:rPr>
        <w:t>Hänggli</w:t>
      </w:r>
      <w:proofErr w:type="spellEnd"/>
      <w:r w:rsidRPr="001C3314">
        <w:rPr>
          <w:lang w:val="es-MX"/>
        </w:rPr>
        <w:t xml:space="preserve"> y </w:t>
      </w:r>
      <w:proofErr w:type="spellStart"/>
      <w:r w:rsidRPr="001C3314">
        <w:rPr>
          <w:lang w:val="es-MX"/>
        </w:rPr>
        <w:t>Kriesi</w:t>
      </w:r>
      <w:proofErr w:type="spellEnd"/>
      <w:r w:rsidRPr="001C3314">
        <w:rPr>
          <w:lang w:val="es-MX"/>
        </w:rPr>
        <w:t xml:space="preserve">, 2012). </w:t>
      </w:r>
    </w:p>
    <w:p w:rsidR="004C02B6" w:rsidRDefault="004C02B6" w:rsidP="004C02B6">
      <w:pPr>
        <w:adjustRightInd w:val="0"/>
        <w:snapToGrid w:val="0"/>
        <w:jc w:val="both"/>
        <w:rPr>
          <w:lang w:val="es-MX"/>
        </w:rPr>
      </w:pPr>
    </w:p>
    <w:p w:rsidR="004C02B6" w:rsidRPr="001C3314" w:rsidRDefault="004C02B6" w:rsidP="004C02B6">
      <w:pPr>
        <w:adjustRightInd w:val="0"/>
        <w:snapToGrid w:val="0"/>
        <w:jc w:val="both"/>
        <w:rPr>
          <w:lang w:val="es-MX"/>
        </w:rPr>
      </w:pPr>
      <w:r w:rsidRPr="001C3314">
        <w:rPr>
          <w:lang w:val="es-MX"/>
        </w:rPr>
        <w:tab/>
        <w:t xml:space="preserve">Todo ello pone de manifiesto la necesidad de estudiar los contenidos informativos que los medios de comunicación trasladan a la ciudadanía sobre política, sobre todo en procesos electorales, al ser un momento de fuerte generación de agenda política y de debate mediático </w:t>
      </w:r>
      <w:r w:rsidRPr="001C3314">
        <w:rPr>
          <w:lang w:val="es-MX"/>
        </w:rPr>
        <w:lastRenderedPageBreak/>
        <w:t>acerca de las propuestas y estrategias seguidas por los diferentes candidatos y partidos políticos. Precisamente, uno de los acercamientos de estudio dentro de la comunicación política se centra en el estudio del proceso a través del cual los mensajes son trabajados en las noticias de los medios (</w:t>
      </w:r>
      <w:proofErr w:type="spellStart"/>
      <w:r w:rsidRPr="001C3314">
        <w:rPr>
          <w:lang w:val="es-MX"/>
        </w:rPr>
        <w:t>Matthes</w:t>
      </w:r>
      <w:proofErr w:type="spellEnd"/>
      <w:r w:rsidRPr="001C3314">
        <w:rPr>
          <w:lang w:val="es-MX"/>
        </w:rPr>
        <w:t xml:space="preserve">, 2012). Para ello, es sin duda importante el acercamiento teórico del </w:t>
      </w:r>
      <w:proofErr w:type="spellStart"/>
      <w:r w:rsidRPr="001C3314">
        <w:rPr>
          <w:i/>
          <w:lang w:val="es-MX"/>
        </w:rPr>
        <w:t>framing</w:t>
      </w:r>
      <w:proofErr w:type="spellEnd"/>
      <w:r w:rsidRPr="001C3314">
        <w:rPr>
          <w:lang w:val="es-MX"/>
        </w:rPr>
        <w:t xml:space="preserve"> que postula la existencia de diferentes encuadres noticiosos (</w:t>
      </w:r>
      <w:proofErr w:type="spellStart"/>
      <w:r w:rsidRPr="001C3314">
        <w:rPr>
          <w:i/>
          <w:lang w:val="es-MX"/>
        </w:rPr>
        <w:t>news</w:t>
      </w:r>
      <w:proofErr w:type="spellEnd"/>
      <w:r w:rsidRPr="001C3314">
        <w:rPr>
          <w:lang w:val="es-MX"/>
        </w:rPr>
        <w:t xml:space="preserve"> </w:t>
      </w:r>
      <w:proofErr w:type="spellStart"/>
      <w:r w:rsidRPr="001C3314">
        <w:rPr>
          <w:i/>
          <w:lang w:val="es-MX"/>
        </w:rPr>
        <w:t>frames</w:t>
      </w:r>
      <w:proofErr w:type="spellEnd"/>
      <w:r w:rsidRPr="001C3314">
        <w:rPr>
          <w:lang w:val="es-MX"/>
        </w:rPr>
        <w:t xml:space="preserve">) presentes en la cobertura informativa de los asuntos que permiten trasladar a la ciudadanía puntos de vista o enfoques del acontecimiento narrado (de </w:t>
      </w:r>
      <w:proofErr w:type="spellStart"/>
      <w:r w:rsidRPr="001C3314">
        <w:rPr>
          <w:lang w:val="es-MX"/>
        </w:rPr>
        <w:t>Vreese</w:t>
      </w:r>
      <w:proofErr w:type="spellEnd"/>
      <w:r w:rsidRPr="001C3314">
        <w:rPr>
          <w:lang w:val="es-MX"/>
        </w:rPr>
        <w:t>, 2012). Tradicionalmente se ha observado que la cobertura de las campañas electorales está encuadrada en términos de un juego (</w:t>
      </w:r>
      <w:proofErr w:type="spellStart"/>
      <w:r w:rsidRPr="001C3314">
        <w:rPr>
          <w:i/>
          <w:lang w:val="es-MX"/>
        </w:rPr>
        <w:t>game</w:t>
      </w:r>
      <w:proofErr w:type="spellEnd"/>
      <w:r w:rsidRPr="001C3314">
        <w:rPr>
          <w:lang w:val="es-MX"/>
        </w:rPr>
        <w:t xml:space="preserve"> </w:t>
      </w:r>
      <w:proofErr w:type="spellStart"/>
      <w:r w:rsidRPr="001C3314">
        <w:rPr>
          <w:i/>
          <w:lang w:val="es-MX"/>
        </w:rPr>
        <w:t>frame</w:t>
      </w:r>
      <w:proofErr w:type="spellEnd"/>
      <w:r w:rsidRPr="001C3314">
        <w:rPr>
          <w:lang w:val="es-MX"/>
        </w:rPr>
        <w:t>) y las estrategias de los candidatos para obtener el mayor rédito electoral (</w:t>
      </w:r>
      <w:proofErr w:type="spellStart"/>
      <w:r w:rsidRPr="001C3314">
        <w:rPr>
          <w:i/>
          <w:lang w:val="es-MX"/>
        </w:rPr>
        <w:t>strategy</w:t>
      </w:r>
      <w:proofErr w:type="spellEnd"/>
      <w:r w:rsidRPr="001C3314">
        <w:rPr>
          <w:i/>
          <w:lang w:val="es-MX"/>
        </w:rPr>
        <w:t xml:space="preserve"> </w:t>
      </w:r>
      <w:proofErr w:type="spellStart"/>
      <w:r w:rsidRPr="001C3314">
        <w:rPr>
          <w:i/>
          <w:lang w:val="es-MX"/>
        </w:rPr>
        <w:t>frame</w:t>
      </w:r>
      <w:proofErr w:type="spellEnd"/>
      <w:r w:rsidRPr="001C3314">
        <w:rPr>
          <w:lang w:val="es-MX"/>
        </w:rPr>
        <w:t>). Ello lleva a que la cobertura en época de campaña electoral tiende a estar más sesgada (</w:t>
      </w:r>
      <w:proofErr w:type="spellStart"/>
      <w:r w:rsidRPr="001C3314">
        <w:rPr>
          <w:lang w:val="es-MX"/>
        </w:rPr>
        <w:t>Gerth</w:t>
      </w:r>
      <w:proofErr w:type="spellEnd"/>
      <w:r w:rsidRPr="001C3314">
        <w:rPr>
          <w:lang w:val="es-MX"/>
        </w:rPr>
        <w:t xml:space="preserve"> y </w:t>
      </w:r>
      <w:proofErr w:type="spellStart"/>
      <w:r w:rsidRPr="001C3314">
        <w:rPr>
          <w:lang w:val="es-MX"/>
        </w:rPr>
        <w:t>Siegert</w:t>
      </w:r>
      <w:proofErr w:type="spellEnd"/>
      <w:r w:rsidRPr="001C3314">
        <w:rPr>
          <w:lang w:val="es-MX"/>
        </w:rPr>
        <w:t xml:space="preserve">, 2012). </w:t>
      </w:r>
    </w:p>
    <w:p w:rsidR="004C02B6" w:rsidRDefault="004C02B6" w:rsidP="004C02B6">
      <w:pPr>
        <w:adjustRightInd w:val="0"/>
        <w:snapToGrid w:val="0"/>
        <w:jc w:val="both"/>
        <w:rPr>
          <w:lang w:val="es-MX"/>
        </w:rPr>
      </w:pPr>
    </w:p>
    <w:p w:rsidR="004C02B6" w:rsidRPr="001C3314" w:rsidRDefault="004C02B6" w:rsidP="004C02B6">
      <w:pPr>
        <w:adjustRightInd w:val="0"/>
        <w:snapToGrid w:val="0"/>
        <w:jc w:val="both"/>
        <w:rPr>
          <w:lang w:val="es-MX"/>
        </w:rPr>
      </w:pPr>
      <w:r w:rsidRPr="001C3314">
        <w:rPr>
          <w:lang w:val="es-MX"/>
        </w:rPr>
        <w:tab/>
        <w:t>Siguiendo estas premisas, el presente estudio establece como objetivo principal conocer qué enfoques o encuadres noticiosos fueron utilizados en la prensa digital mexicana para dar cobertura a la campaña electoral presidencial mexicana de 2012. El hecho de elegir la prensa digital para la realización del estudio se debe a que ésta reproduce en muchas ocasiones los contenidos de la prensa en papel. Además, la versión digital permite la actualización constante de la información, con menores restricciones de espacio que los periódicos tradicionales. Por otra parte, la mayor comodidad en la localización de las unidades de la muestra, así como la posibilidad de seleccionar noticias ya publicadas, también motivó la elección de este medio de comunicación para realizar el estudio. Finalmente, no hay que olvidar que el uso de internet se encuentra en claro ascenso, por lo que conocer los contenidos que son transmitidos a través de la red es de especial importancia, teniendo en cuenta que una buena parte de sus consumidores pertenecen a la cohorte más joven de la sociedad cuyo conocimiento político suele ser en gran medida derivado de un contacto vicario a través de los diferentes actores de socialización, como la familia, los amigos, la escuela o los medios de comunicación (</w:t>
      </w:r>
      <w:proofErr w:type="spellStart"/>
      <w:r w:rsidRPr="001C3314">
        <w:rPr>
          <w:lang w:val="es-MX"/>
        </w:rPr>
        <w:t>Elenbaas</w:t>
      </w:r>
      <w:proofErr w:type="spellEnd"/>
      <w:r w:rsidRPr="001C3314">
        <w:rPr>
          <w:lang w:val="es-MX"/>
        </w:rPr>
        <w:t xml:space="preserve"> y de </w:t>
      </w:r>
      <w:proofErr w:type="spellStart"/>
      <w:r w:rsidRPr="001C3314">
        <w:rPr>
          <w:lang w:val="es-MX"/>
        </w:rPr>
        <w:t>Vreese</w:t>
      </w:r>
      <w:proofErr w:type="spellEnd"/>
      <w:r w:rsidRPr="001C3314">
        <w:rPr>
          <w:lang w:val="es-MX"/>
        </w:rPr>
        <w:t>, 2008).</w:t>
      </w:r>
    </w:p>
    <w:p w:rsidR="004C02B6" w:rsidRPr="001C3314" w:rsidRDefault="004C02B6" w:rsidP="004E6676">
      <w:pPr>
        <w:adjustRightInd w:val="0"/>
        <w:snapToGrid w:val="0"/>
        <w:jc w:val="both"/>
        <w:rPr>
          <w:lang w:val="es-MX"/>
        </w:rPr>
      </w:pPr>
    </w:p>
    <w:p w:rsidR="004C02B6" w:rsidRPr="001C3314" w:rsidRDefault="004C02B6" w:rsidP="004E6676">
      <w:pPr>
        <w:adjustRightInd w:val="0"/>
        <w:snapToGrid w:val="0"/>
        <w:jc w:val="both"/>
        <w:rPr>
          <w:b/>
          <w:lang w:val="es-MX"/>
        </w:rPr>
      </w:pPr>
      <w:r w:rsidRPr="001C3314">
        <w:rPr>
          <w:b/>
          <w:lang w:val="es-MX"/>
        </w:rPr>
        <w:t>2. Marco teórico</w:t>
      </w:r>
    </w:p>
    <w:p w:rsidR="004C02B6" w:rsidRDefault="004C02B6" w:rsidP="004E6676">
      <w:pPr>
        <w:adjustRightInd w:val="0"/>
        <w:snapToGrid w:val="0"/>
        <w:jc w:val="both"/>
        <w:rPr>
          <w:b/>
          <w:lang w:val="es-MX"/>
        </w:rPr>
      </w:pPr>
    </w:p>
    <w:p w:rsidR="004C02B6" w:rsidRPr="001C3314" w:rsidRDefault="004C02B6" w:rsidP="004E6676">
      <w:pPr>
        <w:adjustRightInd w:val="0"/>
        <w:snapToGrid w:val="0"/>
        <w:jc w:val="both"/>
        <w:rPr>
          <w:b/>
          <w:lang w:val="es-MX"/>
        </w:rPr>
      </w:pPr>
      <w:r w:rsidRPr="001C3314">
        <w:rPr>
          <w:b/>
          <w:lang w:val="es-MX"/>
        </w:rPr>
        <w:t xml:space="preserve">2.1. </w:t>
      </w:r>
      <w:r>
        <w:rPr>
          <w:b/>
          <w:lang w:val="es-MX"/>
        </w:rPr>
        <w:t xml:space="preserve">Acerca de la teoría del </w:t>
      </w:r>
      <w:proofErr w:type="spellStart"/>
      <w:r>
        <w:rPr>
          <w:b/>
          <w:lang w:val="es-MX"/>
        </w:rPr>
        <w:t>framing</w:t>
      </w:r>
      <w:proofErr w:type="spellEnd"/>
    </w:p>
    <w:p w:rsidR="004C02B6" w:rsidRDefault="004C02B6" w:rsidP="004E6676">
      <w:pPr>
        <w:adjustRightInd w:val="0"/>
        <w:snapToGrid w:val="0"/>
        <w:jc w:val="both"/>
        <w:rPr>
          <w:lang w:val="es-MX"/>
        </w:rPr>
      </w:pPr>
    </w:p>
    <w:p w:rsidR="004C02B6" w:rsidRPr="00CA7BE4" w:rsidRDefault="004C02B6" w:rsidP="004E6676">
      <w:pPr>
        <w:pStyle w:val="NormalArial"/>
        <w:ind w:left="0" w:firstLine="708"/>
        <w:rPr>
          <w:rFonts w:ascii="Times New Roman" w:hAnsi="Times New Roman" w:cs="Times New Roman"/>
        </w:rPr>
      </w:pPr>
      <w:r w:rsidRPr="00720174">
        <w:rPr>
          <w:rFonts w:ascii="Times New Roman" w:hAnsi="Times New Roman" w:cs="Times New Roman"/>
        </w:rPr>
        <w:t xml:space="preserve">Aunque la </w:t>
      </w:r>
      <w:r w:rsidR="004E6676">
        <w:rPr>
          <w:rFonts w:ascii="Times New Roman" w:hAnsi="Times New Roman" w:cs="Times New Roman"/>
        </w:rPr>
        <w:t>t</w:t>
      </w:r>
      <w:r w:rsidRPr="00720174">
        <w:rPr>
          <w:rFonts w:ascii="Times New Roman" w:hAnsi="Times New Roman" w:cs="Times New Roman"/>
        </w:rPr>
        <w:t xml:space="preserve">eoría del </w:t>
      </w:r>
      <w:proofErr w:type="spellStart"/>
      <w:r w:rsidR="004E6676">
        <w:rPr>
          <w:rFonts w:ascii="Times New Roman" w:hAnsi="Times New Roman" w:cs="Times New Roman"/>
          <w:i/>
        </w:rPr>
        <w:t>f</w:t>
      </w:r>
      <w:r w:rsidRPr="00E53998">
        <w:rPr>
          <w:rFonts w:ascii="Times New Roman" w:hAnsi="Times New Roman" w:cs="Times New Roman"/>
          <w:i/>
        </w:rPr>
        <w:t>raming</w:t>
      </w:r>
      <w:proofErr w:type="spellEnd"/>
      <w:r w:rsidRPr="00720174">
        <w:rPr>
          <w:rFonts w:ascii="Times New Roman" w:hAnsi="Times New Roman" w:cs="Times New Roman"/>
        </w:rPr>
        <w:t xml:space="preserve"> se ha impuesto dentro del estudio de los medios de comunicación, hay que buscar sus orígenes en los campos de la psicología</w:t>
      </w:r>
      <w:r>
        <w:rPr>
          <w:rFonts w:ascii="Times New Roman" w:hAnsi="Times New Roman" w:cs="Times New Roman"/>
        </w:rPr>
        <w:t>,</w:t>
      </w:r>
      <w:r w:rsidRPr="00720174">
        <w:rPr>
          <w:rFonts w:ascii="Times New Roman" w:hAnsi="Times New Roman" w:cs="Times New Roman"/>
        </w:rPr>
        <w:t xml:space="preserve"> </w:t>
      </w:r>
      <w:r>
        <w:rPr>
          <w:rFonts w:ascii="Times New Roman" w:hAnsi="Times New Roman" w:cs="Times New Roman"/>
        </w:rPr>
        <w:t xml:space="preserve">con los trabajos de </w:t>
      </w:r>
      <w:proofErr w:type="spellStart"/>
      <w:r w:rsidRPr="00720174">
        <w:rPr>
          <w:rFonts w:ascii="Times New Roman" w:hAnsi="Times New Roman" w:cs="Times New Roman"/>
        </w:rPr>
        <w:t>Bateson</w:t>
      </w:r>
      <w:proofErr w:type="spellEnd"/>
      <w:r w:rsidRPr="00720174">
        <w:rPr>
          <w:rFonts w:ascii="Times New Roman" w:hAnsi="Times New Roman" w:cs="Times New Roman"/>
        </w:rPr>
        <w:t xml:space="preserve"> (1972)</w:t>
      </w:r>
      <w:r>
        <w:rPr>
          <w:rFonts w:ascii="Times New Roman" w:hAnsi="Times New Roman" w:cs="Times New Roman"/>
        </w:rPr>
        <w:t xml:space="preserve">, </w:t>
      </w:r>
      <w:r w:rsidRPr="00720174">
        <w:rPr>
          <w:rFonts w:ascii="Times New Roman" w:hAnsi="Times New Roman" w:cs="Times New Roman"/>
        </w:rPr>
        <w:t>y la sociología</w:t>
      </w:r>
      <w:r>
        <w:rPr>
          <w:rFonts w:ascii="Times New Roman" w:hAnsi="Times New Roman" w:cs="Times New Roman"/>
        </w:rPr>
        <w:t>,</w:t>
      </w:r>
      <w:r w:rsidRPr="00FA7A92">
        <w:rPr>
          <w:rFonts w:ascii="Times New Roman" w:hAnsi="Times New Roman" w:cs="Times New Roman"/>
        </w:rPr>
        <w:t xml:space="preserve"> </w:t>
      </w:r>
      <w:r>
        <w:rPr>
          <w:rFonts w:ascii="Times New Roman" w:hAnsi="Times New Roman" w:cs="Times New Roman"/>
        </w:rPr>
        <w:t>con los del</w:t>
      </w:r>
      <w:r w:rsidRPr="00720174">
        <w:rPr>
          <w:rFonts w:ascii="Times New Roman" w:hAnsi="Times New Roman" w:cs="Times New Roman"/>
        </w:rPr>
        <w:t xml:space="preserve"> sociólogo </w:t>
      </w:r>
      <w:proofErr w:type="spellStart"/>
      <w:r w:rsidR="00BE4310">
        <w:rPr>
          <w:rFonts w:ascii="Times New Roman" w:hAnsi="Times New Roman" w:cs="Times New Roman"/>
        </w:rPr>
        <w:t>Erving</w:t>
      </w:r>
      <w:proofErr w:type="spellEnd"/>
      <w:r w:rsidR="00BE4310">
        <w:rPr>
          <w:rFonts w:ascii="Times New Roman" w:hAnsi="Times New Roman" w:cs="Times New Roman"/>
        </w:rPr>
        <w:t xml:space="preserve"> </w:t>
      </w:r>
      <w:proofErr w:type="spellStart"/>
      <w:r w:rsidRPr="00720174">
        <w:rPr>
          <w:rFonts w:ascii="Times New Roman" w:hAnsi="Times New Roman" w:cs="Times New Roman"/>
        </w:rPr>
        <w:t>Goffman</w:t>
      </w:r>
      <w:proofErr w:type="spellEnd"/>
      <w:r w:rsidRPr="00720174">
        <w:rPr>
          <w:rFonts w:ascii="Times New Roman" w:hAnsi="Times New Roman" w:cs="Times New Roman"/>
        </w:rPr>
        <w:t xml:space="preserve"> (de </w:t>
      </w:r>
      <w:proofErr w:type="spellStart"/>
      <w:r w:rsidRPr="00720174">
        <w:rPr>
          <w:rFonts w:ascii="Times New Roman" w:hAnsi="Times New Roman" w:cs="Times New Roman"/>
        </w:rPr>
        <w:t>Vreese</w:t>
      </w:r>
      <w:proofErr w:type="spellEnd"/>
      <w:r w:rsidRPr="00720174">
        <w:rPr>
          <w:rFonts w:ascii="Times New Roman" w:hAnsi="Times New Roman" w:cs="Times New Roman"/>
        </w:rPr>
        <w:t>, 2003</w:t>
      </w:r>
      <w:r w:rsidR="00BE4310">
        <w:rPr>
          <w:rFonts w:ascii="Times New Roman" w:hAnsi="Times New Roman" w:cs="Times New Roman"/>
        </w:rPr>
        <w:t>;</w:t>
      </w:r>
      <w:r>
        <w:rPr>
          <w:rFonts w:ascii="Times New Roman" w:hAnsi="Times New Roman" w:cs="Times New Roman"/>
        </w:rPr>
        <w:t xml:space="preserve"> </w:t>
      </w:r>
      <w:proofErr w:type="spellStart"/>
      <w:r w:rsidRPr="00720174">
        <w:rPr>
          <w:rFonts w:ascii="Times New Roman" w:hAnsi="Times New Roman" w:cs="Times New Roman"/>
        </w:rPr>
        <w:t>Sádaba</w:t>
      </w:r>
      <w:proofErr w:type="spellEnd"/>
      <w:r w:rsidRPr="00720174">
        <w:rPr>
          <w:rFonts w:ascii="Times New Roman" w:hAnsi="Times New Roman" w:cs="Times New Roman"/>
        </w:rPr>
        <w:t xml:space="preserve">, 2001; </w:t>
      </w:r>
      <w:proofErr w:type="spellStart"/>
      <w:r w:rsidRPr="00720174">
        <w:rPr>
          <w:rFonts w:ascii="Times New Roman" w:hAnsi="Times New Roman" w:cs="Times New Roman"/>
        </w:rPr>
        <w:t>Yioutas</w:t>
      </w:r>
      <w:proofErr w:type="spellEnd"/>
      <w:r w:rsidRPr="00720174">
        <w:rPr>
          <w:rFonts w:ascii="Times New Roman" w:hAnsi="Times New Roman" w:cs="Times New Roman"/>
        </w:rPr>
        <w:t xml:space="preserve"> y </w:t>
      </w:r>
      <w:proofErr w:type="spellStart"/>
      <w:r w:rsidRPr="00720174">
        <w:rPr>
          <w:rFonts w:ascii="Times New Roman" w:hAnsi="Times New Roman" w:cs="Times New Roman"/>
        </w:rPr>
        <w:t>Segvic</w:t>
      </w:r>
      <w:proofErr w:type="spellEnd"/>
      <w:r w:rsidRPr="00720174">
        <w:rPr>
          <w:rFonts w:ascii="Times New Roman" w:hAnsi="Times New Roman" w:cs="Times New Roman"/>
        </w:rPr>
        <w:t>, 2003). En este sentido, el concepto de</w:t>
      </w:r>
      <w:r>
        <w:rPr>
          <w:rFonts w:ascii="Times New Roman" w:hAnsi="Times New Roman" w:cs="Times New Roman"/>
        </w:rPr>
        <w:t xml:space="preserve"> encuadre noticioso</w:t>
      </w:r>
      <w:r w:rsidRPr="00720174">
        <w:rPr>
          <w:rFonts w:ascii="Times New Roman" w:hAnsi="Times New Roman" w:cs="Times New Roman"/>
        </w:rPr>
        <w:t xml:space="preserve"> </w:t>
      </w:r>
      <w:r>
        <w:rPr>
          <w:rFonts w:ascii="Times New Roman" w:hAnsi="Times New Roman" w:cs="Times New Roman"/>
        </w:rPr>
        <w:t>(</w:t>
      </w:r>
      <w:proofErr w:type="spellStart"/>
      <w:r w:rsidRPr="00DE6521">
        <w:rPr>
          <w:rFonts w:ascii="Times New Roman" w:hAnsi="Times New Roman" w:cs="Times New Roman"/>
          <w:i/>
        </w:rPr>
        <w:t>frame</w:t>
      </w:r>
      <w:proofErr w:type="spellEnd"/>
      <w:r>
        <w:rPr>
          <w:rFonts w:ascii="Times New Roman" w:hAnsi="Times New Roman" w:cs="Times New Roman"/>
        </w:rPr>
        <w:t xml:space="preserve">) </w:t>
      </w:r>
      <w:r w:rsidRPr="00720174">
        <w:rPr>
          <w:rFonts w:ascii="Times New Roman" w:hAnsi="Times New Roman" w:cs="Times New Roman"/>
        </w:rPr>
        <w:t>surge en el terreno de la psicología aunque rápidamente salta</w:t>
      </w:r>
      <w:r w:rsidRPr="00D470CC">
        <w:rPr>
          <w:rFonts w:ascii="Times New Roman" w:hAnsi="Times New Roman" w:cs="Times New Roman"/>
        </w:rPr>
        <w:t xml:space="preserve"> </w:t>
      </w:r>
      <w:r w:rsidRPr="00720174">
        <w:rPr>
          <w:rFonts w:ascii="Times New Roman" w:hAnsi="Times New Roman" w:cs="Times New Roman"/>
        </w:rPr>
        <w:t xml:space="preserve">al terreno de la </w:t>
      </w:r>
      <w:r w:rsidRPr="00205F95">
        <w:rPr>
          <w:rFonts w:ascii="Times New Roman" w:hAnsi="Times New Roman" w:cs="Times New Roman"/>
        </w:rPr>
        <w:t>sociología</w:t>
      </w:r>
      <w:r w:rsidRPr="00720174">
        <w:rPr>
          <w:rFonts w:ascii="Times New Roman" w:hAnsi="Times New Roman" w:cs="Times New Roman"/>
        </w:rPr>
        <w:t xml:space="preserve">, gracias a los matices que le añade </w:t>
      </w:r>
      <w:proofErr w:type="spellStart"/>
      <w:r>
        <w:rPr>
          <w:rFonts w:ascii="Times New Roman" w:hAnsi="Times New Roman" w:cs="Times New Roman"/>
        </w:rPr>
        <w:t>Erving</w:t>
      </w:r>
      <w:proofErr w:type="spellEnd"/>
      <w:r>
        <w:rPr>
          <w:rFonts w:ascii="Times New Roman" w:hAnsi="Times New Roman" w:cs="Times New Roman"/>
        </w:rPr>
        <w:t xml:space="preserve"> </w:t>
      </w:r>
      <w:proofErr w:type="spellStart"/>
      <w:r w:rsidRPr="00720174">
        <w:rPr>
          <w:rFonts w:ascii="Times New Roman" w:hAnsi="Times New Roman" w:cs="Times New Roman"/>
        </w:rPr>
        <w:t>Goffman</w:t>
      </w:r>
      <w:proofErr w:type="spellEnd"/>
      <w:r w:rsidRPr="00205F95">
        <w:rPr>
          <w:rFonts w:ascii="Times New Roman" w:hAnsi="Times New Roman" w:cs="Times New Roman"/>
        </w:rPr>
        <w:t xml:space="preserve"> (1974)</w:t>
      </w:r>
      <w:r w:rsidR="004E6676">
        <w:rPr>
          <w:rFonts w:ascii="Times New Roman" w:hAnsi="Times New Roman" w:cs="Times New Roman"/>
        </w:rPr>
        <w:t>. Para ello, el autor parte de la</w:t>
      </w:r>
      <w:r w:rsidRPr="00205F95">
        <w:rPr>
          <w:rFonts w:ascii="Times New Roman" w:hAnsi="Times New Roman" w:cs="Times New Roman"/>
        </w:rPr>
        <w:t xml:space="preserve"> hipótesis </w:t>
      </w:r>
      <w:r w:rsidR="004E6676">
        <w:rPr>
          <w:rFonts w:ascii="Times New Roman" w:hAnsi="Times New Roman" w:cs="Times New Roman"/>
        </w:rPr>
        <w:t>de</w:t>
      </w:r>
      <w:r w:rsidRPr="00205F95">
        <w:rPr>
          <w:rFonts w:ascii="Times New Roman" w:hAnsi="Times New Roman" w:cs="Times New Roman"/>
        </w:rPr>
        <w:t xml:space="preserve"> los hombres no pueden entender el mundo en toda su complejidad, por lo que éstos intentan inferir relaciones causales de la información sensorial. A partir de los años 80</w:t>
      </w:r>
      <w:r>
        <w:rPr>
          <w:rFonts w:ascii="Times New Roman" w:hAnsi="Times New Roman" w:cs="Times New Roman"/>
        </w:rPr>
        <w:t>,</w:t>
      </w:r>
      <w:r w:rsidRPr="00205F95">
        <w:rPr>
          <w:rFonts w:ascii="Times New Roman" w:hAnsi="Times New Roman" w:cs="Times New Roman"/>
        </w:rPr>
        <w:t xml:space="preserve"> el concepto salta de</w:t>
      </w:r>
      <w:r w:rsidRPr="00720174">
        <w:rPr>
          <w:rFonts w:ascii="Times New Roman" w:hAnsi="Times New Roman" w:cs="Times New Roman"/>
        </w:rPr>
        <w:t xml:space="preserve"> la sociología al ámbito de investigación de los medios de comunicación, “en cuanto que los periodistas también interpretan realidades para darlas a conocer a sus audiencias” (</w:t>
      </w:r>
      <w:proofErr w:type="spellStart"/>
      <w:r w:rsidRPr="00720174">
        <w:rPr>
          <w:rFonts w:ascii="Times New Roman" w:hAnsi="Times New Roman" w:cs="Times New Roman"/>
        </w:rPr>
        <w:t>Sádaba</w:t>
      </w:r>
      <w:proofErr w:type="spellEnd"/>
      <w:r w:rsidRPr="00720174">
        <w:rPr>
          <w:rFonts w:ascii="Times New Roman" w:hAnsi="Times New Roman" w:cs="Times New Roman"/>
        </w:rPr>
        <w:t xml:space="preserve">, 2001, </w:t>
      </w:r>
      <w:r>
        <w:rPr>
          <w:rFonts w:ascii="Times New Roman" w:hAnsi="Times New Roman" w:cs="Times New Roman"/>
        </w:rPr>
        <w:t>p. 1</w:t>
      </w:r>
      <w:r w:rsidRPr="00720174">
        <w:rPr>
          <w:rFonts w:ascii="Times New Roman" w:hAnsi="Times New Roman" w:cs="Times New Roman"/>
        </w:rPr>
        <w:t xml:space="preserve">48). </w:t>
      </w:r>
      <w:r>
        <w:rPr>
          <w:rFonts w:ascii="Times New Roman" w:hAnsi="Times New Roman" w:cs="Times New Roman"/>
        </w:rPr>
        <w:t xml:space="preserve">Es en este momento cuando se plantea la </w:t>
      </w:r>
      <w:r w:rsidR="004E6676">
        <w:rPr>
          <w:rFonts w:ascii="Times New Roman" w:hAnsi="Times New Roman" w:cs="Times New Roman"/>
        </w:rPr>
        <w:t>t</w:t>
      </w:r>
      <w:r>
        <w:rPr>
          <w:rFonts w:ascii="Times New Roman" w:hAnsi="Times New Roman" w:cs="Times New Roman"/>
        </w:rPr>
        <w:t xml:space="preserve">eoría del </w:t>
      </w:r>
      <w:proofErr w:type="spellStart"/>
      <w:r w:rsidR="004E6676">
        <w:rPr>
          <w:rFonts w:ascii="Times New Roman" w:hAnsi="Times New Roman" w:cs="Times New Roman"/>
          <w:i/>
        </w:rPr>
        <w:t>f</w:t>
      </w:r>
      <w:r w:rsidRPr="00E53998">
        <w:rPr>
          <w:rFonts w:ascii="Times New Roman" w:hAnsi="Times New Roman" w:cs="Times New Roman"/>
          <w:i/>
        </w:rPr>
        <w:t>raming</w:t>
      </w:r>
      <w:proofErr w:type="spellEnd"/>
      <w:r w:rsidR="004E6676">
        <w:rPr>
          <w:rFonts w:ascii="Times New Roman" w:hAnsi="Times New Roman" w:cs="Times New Roman"/>
        </w:rPr>
        <w:t xml:space="preserve"> (</w:t>
      </w:r>
      <w:proofErr w:type="spellStart"/>
      <w:r w:rsidRPr="00205F95">
        <w:rPr>
          <w:rFonts w:ascii="Times New Roman" w:hAnsi="Times New Roman" w:cs="Times New Roman"/>
        </w:rPr>
        <w:t>Sádaba</w:t>
      </w:r>
      <w:proofErr w:type="spellEnd"/>
      <w:r w:rsidRPr="00205F95">
        <w:rPr>
          <w:rFonts w:ascii="Times New Roman" w:hAnsi="Times New Roman" w:cs="Times New Roman"/>
        </w:rPr>
        <w:t xml:space="preserve">, 2001; </w:t>
      </w:r>
      <w:proofErr w:type="spellStart"/>
      <w:r w:rsidRPr="00205F95">
        <w:rPr>
          <w:rFonts w:ascii="Times New Roman" w:hAnsi="Times New Roman" w:cs="Times New Roman"/>
        </w:rPr>
        <w:t>Yioutas</w:t>
      </w:r>
      <w:proofErr w:type="spellEnd"/>
      <w:r w:rsidRPr="00205F95">
        <w:rPr>
          <w:rFonts w:ascii="Times New Roman" w:hAnsi="Times New Roman" w:cs="Times New Roman"/>
        </w:rPr>
        <w:t xml:space="preserve"> y </w:t>
      </w:r>
      <w:proofErr w:type="spellStart"/>
      <w:r w:rsidRPr="00205F95">
        <w:rPr>
          <w:rFonts w:ascii="Times New Roman" w:hAnsi="Times New Roman" w:cs="Times New Roman"/>
        </w:rPr>
        <w:t>Segvic</w:t>
      </w:r>
      <w:proofErr w:type="spellEnd"/>
      <w:r w:rsidRPr="00205F95">
        <w:rPr>
          <w:rFonts w:ascii="Times New Roman" w:hAnsi="Times New Roman" w:cs="Times New Roman"/>
        </w:rPr>
        <w:t>, 20</w:t>
      </w:r>
      <w:r w:rsidRPr="00CA7BE4">
        <w:rPr>
          <w:rFonts w:ascii="Times New Roman" w:hAnsi="Times New Roman" w:cs="Times New Roman"/>
        </w:rPr>
        <w:t>03).</w:t>
      </w:r>
    </w:p>
    <w:p w:rsidR="004E6676" w:rsidRDefault="004E6676" w:rsidP="004E6676">
      <w:pPr>
        <w:adjustRightInd w:val="0"/>
        <w:snapToGrid w:val="0"/>
        <w:jc w:val="both"/>
      </w:pPr>
      <w:r>
        <w:tab/>
      </w:r>
    </w:p>
    <w:p w:rsidR="004E6676" w:rsidRDefault="004E6676" w:rsidP="004E6676">
      <w:pPr>
        <w:adjustRightInd w:val="0"/>
        <w:snapToGrid w:val="0"/>
        <w:jc w:val="both"/>
      </w:pPr>
      <w:r>
        <w:tab/>
      </w:r>
      <w:r w:rsidR="004C02B6">
        <w:t xml:space="preserve">Sin duda, la teoría del </w:t>
      </w:r>
      <w:proofErr w:type="spellStart"/>
      <w:r>
        <w:rPr>
          <w:i/>
        </w:rPr>
        <w:t>f</w:t>
      </w:r>
      <w:r w:rsidR="004C02B6" w:rsidRPr="00E53998">
        <w:rPr>
          <w:i/>
        </w:rPr>
        <w:t>raming</w:t>
      </w:r>
      <w:proofErr w:type="spellEnd"/>
      <w:r w:rsidR="004C02B6">
        <w:t xml:space="preserve"> o del encuadre, en su traducción más aceptada al español (Igartua y Humanes, 2004; </w:t>
      </w:r>
      <w:proofErr w:type="spellStart"/>
      <w:r w:rsidR="004C02B6">
        <w:t>Sádaba</w:t>
      </w:r>
      <w:proofErr w:type="spellEnd"/>
      <w:r w:rsidR="004C02B6">
        <w:t>, 2001), es uno de los principales acercamientos teóricos que los investigadores están siguiendo para las investigación sobre comunicación (</w:t>
      </w:r>
      <w:proofErr w:type="spellStart"/>
      <w:r w:rsidR="004C02B6">
        <w:t>Reese</w:t>
      </w:r>
      <w:proofErr w:type="spellEnd"/>
      <w:r w:rsidR="004C02B6">
        <w:t xml:space="preserve">, 2001; </w:t>
      </w:r>
      <w:proofErr w:type="spellStart"/>
      <w:r w:rsidR="004C02B6">
        <w:lastRenderedPageBreak/>
        <w:t>Scheufele</w:t>
      </w:r>
      <w:proofErr w:type="spellEnd"/>
      <w:r w:rsidR="004C02B6">
        <w:t>, 2004). A pesar de ello, todavía</w:t>
      </w:r>
      <w:r w:rsidR="004C02B6" w:rsidRPr="00CB6F59">
        <w:t xml:space="preserve"> no está claramente definido el objeto de análisis de esta corriente de </w:t>
      </w:r>
      <w:r w:rsidR="004C02B6" w:rsidRPr="004A7B23">
        <w:t>investigación, es decir, no está claramente definido el concepto de los encuadres noticiosos</w:t>
      </w:r>
      <w:r>
        <w:t xml:space="preserve"> y la naturaleza de los mismos</w:t>
      </w:r>
      <w:r w:rsidR="004C02B6" w:rsidRPr="004A7B23">
        <w:t xml:space="preserve"> (</w:t>
      </w:r>
      <w:proofErr w:type="spellStart"/>
      <w:r w:rsidR="004C02B6" w:rsidRPr="004A7B23">
        <w:rPr>
          <w:i/>
        </w:rPr>
        <w:t>news</w:t>
      </w:r>
      <w:proofErr w:type="spellEnd"/>
      <w:r w:rsidR="004C02B6" w:rsidRPr="004A7B23">
        <w:rPr>
          <w:i/>
        </w:rPr>
        <w:t xml:space="preserve"> </w:t>
      </w:r>
      <w:proofErr w:type="spellStart"/>
      <w:r w:rsidR="004C02B6" w:rsidRPr="004A7B23">
        <w:rPr>
          <w:i/>
        </w:rPr>
        <w:t>frame</w:t>
      </w:r>
      <w:proofErr w:type="spellEnd"/>
      <w:r w:rsidR="004C02B6" w:rsidRPr="004A7B23">
        <w:t xml:space="preserve">) (de </w:t>
      </w:r>
      <w:proofErr w:type="spellStart"/>
      <w:r w:rsidR="004C02B6" w:rsidRPr="004A7B23">
        <w:t>Vreese</w:t>
      </w:r>
      <w:proofErr w:type="spellEnd"/>
      <w:r w:rsidR="004C02B6" w:rsidRPr="004A7B23">
        <w:t xml:space="preserve">, 2003; </w:t>
      </w:r>
      <w:proofErr w:type="spellStart"/>
      <w:r w:rsidR="004C02B6" w:rsidRPr="004A7B23">
        <w:t>Sábada</w:t>
      </w:r>
      <w:proofErr w:type="spellEnd"/>
      <w:r w:rsidR="004C02B6" w:rsidRPr="004A7B23">
        <w:t>, 2001</w:t>
      </w:r>
      <w:r>
        <w:t xml:space="preserve">; </w:t>
      </w:r>
      <w:proofErr w:type="spellStart"/>
      <w:r w:rsidRPr="001C3314">
        <w:rPr>
          <w:lang w:val="es-MX"/>
        </w:rPr>
        <w:t>Scheufele</w:t>
      </w:r>
      <w:proofErr w:type="spellEnd"/>
      <w:r w:rsidRPr="001C3314">
        <w:rPr>
          <w:lang w:val="es-MX"/>
        </w:rPr>
        <w:t xml:space="preserve"> e </w:t>
      </w:r>
      <w:proofErr w:type="spellStart"/>
      <w:r w:rsidRPr="001C3314">
        <w:rPr>
          <w:lang w:val="es-MX"/>
        </w:rPr>
        <w:t>Iyengar</w:t>
      </w:r>
      <w:proofErr w:type="spellEnd"/>
      <w:r>
        <w:rPr>
          <w:lang w:val="es-MX"/>
        </w:rPr>
        <w:t xml:space="preserve">, </w:t>
      </w:r>
      <w:r w:rsidRPr="001C3314">
        <w:rPr>
          <w:lang w:val="es-MX"/>
        </w:rPr>
        <w:t>en prensa</w:t>
      </w:r>
      <w:r w:rsidR="004C02B6" w:rsidRPr="004A7B23">
        <w:t>).</w:t>
      </w:r>
      <w:r>
        <w:t xml:space="preserve"> Quizá una de las propuestas más seguidas es la planteada por </w:t>
      </w:r>
      <w:proofErr w:type="spellStart"/>
      <w:r w:rsidR="004C02B6" w:rsidRPr="00203BFA">
        <w:t>Entman</w:t>
      </w:r>
      <w:proofErr w:type="spellEnd"/>
      <w:r w:rsidR="004C02B6" w:rsidRPr="00203BFA">
        <w:t xml:space="preserve"> (1993), </w:t>
      </w:r>
      <w:r>
        <w:t xml:space="preserve">para quien </w:t>
      </w:r>
      <w:r w:rsidR="004C02B6" w:rsidRPr="00203BFA">
        <w:t xml:space="preserve">el </w:t>
      </w:r>
      <w:proofErr w:type="spellStart"/>
      <w:r w:rsidR="004C02B6" w:rsidRPr="00E53998">
        <w:rPr>
          <w:i/>
        </w:rPr>
        <w:t>framing</w:t>
      </w:r>
      <w:proofErr w:type="spellEnd"/>
      <w:r w:rsidR="004C02B6" w:rsidRPr="00203BFA">
        <w:t xml:space="preserve"> es el proceso en el que se seleccionan “algunos aspectos de la realidad percibida, haciéndolos más sobresalientes en el texto comunicativo, de tal manera que consigan promover una definición del problema particular, una interpretación causal, una evaluación moral y/o una recomendación de tratamiento para el asunto descrito”</w:t>
      </w:r>
      <w:r w:rsidR="004C02B6">
        <w:t xml:space="preserve"> (p. 5</w:t>
      </w:r>
      <w:r w:rsidR="004C02B6" w:rsidRPr="00203BFA">
        <w:t>2</w:t>
      </w:r>
      <w:r w:rsidR="004C02B6">
        <w:t>)</w:t>
      </w:r>
      <w:r w:rsidR="004C02B6" w:rsidRPr="00203BFA">
        <w:t xml:space="preserve">. Por tanto, </w:t>
      </w:r>
      <w:proofErr w:type="spellStart"/>
      <w:r w:rsidR="004C02B6" w:rsidRPr="00203BFA">
        <w:t>Entman</w:t>
      </w:r>
      <w:proofErr w:type="spellEnd"/>
      <w:r w:rsidR="004C02B6" w:rsidRPr="00203BFA">
        <w:t xml:space="preserve"> se centra en la idea de que el encuadre ofrece </w:t>
      </w:r>
      <w:r w:rsidR="004C02B6" w:rsidRPr="00443BDE">
        <w:t>una serie de perspectivas del asunto tratado, a través de l</w:t>
      </w:r>
      <w:r w:rsidR="004C02B6">
        <w:t>a</w:t>
      </w:r>
      <w:r w:rsidR="004C02B6" w:rsidRPr="00443BDE">
        <w:t xml:space="preserve">s cuales se interpreta la información. </w:t>
      </w:r>
    </w:p>
    <w:p w:rsidR="004E6676" w:rsidRDefault="004E6676" w:rsidP="004E6676">
      <w:pPr>
        <w:adjustRightInd w:val="0"/>
        <w:snapToGrid w:val="0"/>
        <w:jc w:val="both"/>
      </w:pPr>
    </w:p>
    <w:p w:rsidR="004C02B6" w:rsidRPr="00203BFA" w:rsidRDefault="004E6676" w:rsidP="004E6676">
      <w:pPr>
        <w:adjustRightInd w:val="0"/>
        <w:snapToGrid w:val="0"/>
        <w:jc w:val="both"/>
      </w:pPr>
      <w:r>
        <w:tab/>
      </w:r>
      <w:r w:rsidR="004C02B6" w:rsidRPr="00443BDE">
        <w:t>En una línea similar</w:t>
      </w:r>
      <w:r w:rsidR="004C02B6" w:rsidRPr="00203BFA">
        <w:t xml:space="preserve"> se </w:t>
      </w:r>
      <w:r w:rsidR="004C02B6">
        <w:t>presentan</w:t>
      </w:r>
      <w:r w:rsidR="004C02B6" w:rsidRPr="00203BFA">
        <w:t xml:space="preserve"> las definiciones hechas por otros autores, como </w:t>
      </w:r>
      <w:r w:rsidR="004C02B6" w:rsidRPr="00203BFA">
        <w:rPr>
          <w:rStyle w:val="goohl0"/>
          <w:bCs/>
        </w:rPr>
        <w:t>R</w:t>
      </w:r>
      <w:r w:rsidR="004C02B6">
        <w:rPr>
          <w:rStyle w:val="goohl0"/>
          <w:bCs/>
        </w:rPr>
        <w:t>oss (2003</w:t>
      </w:r>
      <w:r w:rsidR="004C02B6" w:rsidRPr="00203BFA">
        <w:rPr>
          <w:rStyle w:val="goohl0"/>
          <w:bCs/>
        </w:rPr>
        <w:t xml:space="preserve">) que </w:t>
      </w:r>
      <w:r w:rsidR="004C02B6">
        <w:rPr>
          <w:rStyle w:val="goohl0"/>
          <w:bCs/>
        </w:rPr>
        <w:t>señala</w:t>
      </w:r>
      <w:r w:rsidR="004C02B6" w:rsidRPr="00203BFA">
        <w:rPr>
          <w:rStyle w:val="goohl0"/>
          <w:bCs/>
        </w:rPr>
        <w:t xml:space="preserve"> que el</w:t>
      </w:r>
      <w:r w:rsidR="004C02B6">
        <w:rPr>
          <w:rStyle w:val="goohl0"/>
          <w:bCs/>
        </w:rPr>
        <w:t xml:space="preserve"> proceso de encuadre de las noticias</w:t>
      </w:r>
      <w:r w:rsidR="004C02B6" w:rsidRPr="00203BFA">
        <w:rPr>
          <w:rStyle w:val="goohl0"/>
          <w:bCs/>
        </w:rPr>
        <w:t xml:space="preserve"> “determina la relevancia de la información y establece un contexto para su comprensión”</w:t>
      </w:r>
      <w:r w:rsidR="004C02B6">
        <w:rPr>
          <w:rStyle w:val="goohl0"/>
          <w:bCs/>
        </w:rPr>
        <w:t xml:space="preserve"> (p. 3)</w:t>
      </w:r>
      <w:r w:rsidR="004C02B6" w:rsidRPr="00203BFA">
        <w:rPr>
          <w:rStyle w:val="goohl0"/>
          <w:bCs/>
        </w:rPr>
        <w:t xml:space="preserve">. Asimismo, </w:t>
      </w:r>
      <w:proofErr w:type="spellStart"/>
      <w:r w:rsidR="004C02B6">
        <w:rPr>
          <w:rStyle w:val="goohl0"/>
          <w:bCs/>
        </w:rPr>
        <w:t>Nabi</w:t>
      </w:r>
      <w:proofErr w:type="spellEnd"/>
      <w:r w:rsidR="004C02B6">
        <w:rPr>
          <w:rStyle w:val="goohl0"/>
          <w:bCs/>
        </w:rPr>
        <w:t xml:space="preserve"> (2003</w:t>
      </w:r>
      <w:r w:rsidR="004C02B6" w:rsidRPr="00203BFA">
        <w:rPr>
          <w:rStyle w:val="goohl0"/>
          <w:bCs/>
        </w:rPr>
        <w:t xml:space="preserve">) </w:t>
      </w:r>
      <w:r w:rsidR="004C02B6">
        <w:rPr>
          <w:rStyle w:val="goohl0"/>
          <w:bCs/>
        </w:rPr>
        <w:t>anota</w:t>
      </w:r>
      <w:r w:rsidR="004C02B6" w:rsidRPr="00203BFA">
        <w:rPr>
          <w:rStyle w:val="goohl0"/>
          <w:bCs/>
        </w:rPr>
        <w:t xml:space="preserve"> que un</w:t>
      </w:r>
      <w:r w:rsidR="004C02B6">
        <w:rPr>
          <w:rStyle w:val="goohl0"/>
          <w:bCs/>
        </w:rPr>
        <w:t xml:space="preserve"> encuadre </w:t>
      </w:r>
      <w:r w:rsidR="004C02B6" w:rsidRPr="00203BFA">
        <w:rPr>
          <w:rStyle w:val="goohl0"/>
          <w:bCs/>
        </w:rPr>
        <w:t xml:space="preserve">es “una perspectiva infundida dentro de un mensaje que promociona la </w:t>
      </w:r>
      <w:proofErr w:type="spellStart"/>
      <w:r w:rsidR="004C02B6" w:rsidRPr="00203BFA">
        <w:rPr>
          <w:rStyle w:val="goohl0"/>
          <w:bCs/>
        </w:rPr>
        <w:t>saliencia</w:t>
      </w:r>
      <w:proofErr w:type="spellEnd"/>
      <w:r w:rsidR="004C02B6" w:rsidRPr="00203BFA">
        <w:rPr>
          <w:rStyle w:val="goohl0"/>
          <w:bCs/>
        </w:rPr>
        <w:t xml:space="preserve"> de pedazos de la información seleccionados sobre otros”</w:t>
      </w:r>
      <w:r w:rsidR="004C02B6">
        <w:rPr>
          <w:rStyle w:val="goohl0"/>
          <w:bCs/>
        </w:rPr>
        <w:t xml:space="preserve"> (p. 2</w:t>
      </w:r>
      <w:r w:rsidR="004C02B6" w:rsidRPr="00203BFA">
        <w:rPr>
          <w:rStyle w:val="goohl0"/>
          <w:bCs/>
        </w:rPr>
        <w:t>25</w:t>
      </w:r>
      <w:r w:rsidR="004C02B6">
        <w:rPr>
          <w:rStyle w:val="goohl0"/>
          <w:bCs/>
        </w:rPr>
        <w:t>)</w:t>
      </w:r>
      <w:r w:rsidR="004C02B6" w:rsidRPr="00203BFA">
        <w:rPr>
          <w:rStyle w:val="goohl0"/>
          <w:bCs/>
        </w:rPr>
        <w:t xml:space="preserve">. Centrándose más en </w:t>
      </w:r>
      <w:r w:rsidR="004C02B6">
        <w:rPr>
          <w:rStyle w:val="goohl0"/>
          <w:bCs/>
        </w:rPr>
        <w:t>las</w:t>
      </w:r>
      <w:r w:rsidR="004C02B6" w:rsidRPr="00203BFA">
        <w:rPr>
          <w:rStyle w:val="goohl0"/>
          <w:bCs/>
        </w:rPr>
        <w:t xml:space="preserve"> rutinas periodísticas de elaboración de las noticias, </w:t>
      </w:r>
      <w:proofErr w:type="spellStart"/>
      <w:r w:rsidR="004C02B6">
        <w:t>Valkenburg</w:t>
      </w:r>
      <w:proofErr w:type="spellEnd"/>
      <w:r w:rsidR="004C02B6">
        <w:t xml:space="preserve">, </w:t>
      </w:r>
      <w:proofErr w:type="spellStart"/>
      <w:r w:rsidR="004C02B6">
        <w:t>Semetko</w:t>
      </w:r>
      <w:proofErr w:type="spellEnd"/>
      <w:r w:rsidR="004C02B6">
        <w:t xml:space="preserve"> y de </w:t>
      </w:r>
      <w:proofErr w:type="spellStart"/>
      <w:r w:rsidR="004C02B6">
        <w:t>Vreese</w:t>
      </w:r>
      <w:proofErr w:type="spellEnd"/>
      <w:r w:rsidR="004C02B6">
        <w:t xml:space="preserve"> (1999</w:t>
      </w:r>
      <w:r w:rsidR="004C02B6" w:rsidRPr="00203BFA">
        <w:t>) hablan en su trabajo del encuadre mediático (</w:t>
      </w:r>
      <w:r w:rsidR="004C02B6" w:rsidRPr="00203BFA">
        <w:rPr>
          <w:i/>
        </w:rPr>
        <w:t xml:space="preserve">media </w:t>
      </w:r>
      <w:proofErr w:type="spellStart"/>
      <w:r w:rsidR="004C02B6" w:rsidRPr="00DE6521">
        <w:rPr>
          <w:i/>
        </w:rPr>
        <w:t>frame</w:t>
      </w:r>
      <w:proofErr w:type="spellEnd"/>
      <w:r w:rsidR="004C02B6" w:rsidRPr="00203BFA">
        <w:t>) como “una forma particular a través de la cual el periodista compone o construye una noticia para optimizar la accesibilidad de la audiencia”</w:t>
      </w:r>
      <w:r w:rsidR="004C02B6">
        <w:t xml:space="preserve"> (p. 5</w:t>
      </w:r>
      <w:r w:rsidR="004C02B6" w:rsidRPr="00203BFA">
        <w:t>50</w:t>
      </w:r>
      <w:r w:rsidR="004C02B6">
        <w:t>)</w:t>
      </w:r>
      <w:r w:rsidR="004C02B6" w:rsidRPr="00203BFA">
        <w:t xml:space="preserve">. De esta manera, </w:t>
      </w:r>
      <w:r w:rsidR="004C02B6">
        <w:t>éstos</w:t>
      </w:r>
      <w:r w:rsidR="004C02B6" w:rsidRPr="00203BFA">
        <w:t xml:space="preserve"> se utilizarían para simplificar la información, puesto que normalmente se cuenta con poco espacio o tiempo para dar todos los datos relacionados con el asunto noticioso del que se informa.</w:t>
      </w:r>
    </w:p>
    <w:p w:rsidR="004C02B6" w:rsidRPr="001C3314" w:rsidRDefault="004C02B6" w:rsidP="004E6676">
      <w:pPr>
        <w:adjustRightInd w:val="0"/>
        <w:snapToGrid w:val="0"/>
        <w:jc w:val="both"/>
        <w:rPr>
          <w:lang w:val="es-MX"/>
        </w:rPr>
      </w:pPr>
    </w:p>
    <w:p w:rsidR="004E6676" w:rsidRDefault="004E6676" w:rsidP="004E6676">
      <w:pPr>
        <w:adjustRightInd w:val="0"/>
        <w:snapToGrid w:val="0"/>
        <w:jc w:val="both"/>
        <w:rPr>
          <w:b/>
          <w:lang w:val="es-MX"/>
        </w:rPr>
      </w:pPr>
      <w:r>
        <w:rPr>
          <w:b/>
          <w:lang w:val="es-MX"/>
        </w:rPr>
        <w:t>2.2. Acercamientos en el estudio de los encuadres</w:t>
      </w:r>
    </w:p>
    <w:p w:rsidR="004E6676" w:rsidRDefault="004E6676" w:rsidP="004E6676">
      <w:pPr>
        <w:adjustRightInd w:val="0"/>
        <w:snapToGrid w:val="0"/>
        <w:jc w:val="both"/>
        <w:rPr>
          <w:b/>
          <w:lang w:val="es-MX"/>
        </w:rPr>
      </w:pPr>
    </w:p>
    <w:p w:rsidR="004E6676" w:rsidRPr="00964DBB" w:rsidRDefault="004E6676" w:rsidP="004E6676">
      <w:pPr>
        <w:pStyle w:val="NormalArial"/>
        <w:ind w:left="0" w:firstLine="708"/>
        <w:rPr>
          <w:rFonts w:ascii="Times New Roman" w:hAnsi="Times New Roman" w:cs="Times New Roman"/>
        </w:rPr>
      </w:pPr>
      <w:r w:rsidRPr="00964DBB">
        <w:rPr>
          <w:rFonts w:ascii="Times New Roman" w:hAnsi="Times New Roman" w:cs="Times New Roman"/>
        </w:rPr>
        <w:t xml:space="preserve">Una de las principales preocupaciones de los investigadores en </w:t>
      </w:r>
      <w:r>
        <w:rPr>
          <w:rFonts w:ascii="Times New Roman" w:hAnsi="Times New Roman" w:cs="Times New Roman"/>
        </w:rPr>
        <w:t>C</w:t>
      </w:r>
      <w:r w:rsidRPr="00964DBB">
        <w:rPr>
          <w:rFonts w:ascii="Times New Roman" w:hAnsi="Times New Roman" w:cs="Times New Roman"/>
        </w:rPr>
        <w:t>omunicación centrados en el estudio de</w:t>
      </w:r>
      <w:r>
        <w:rPr>
          <w:rFonts w:ascii="Times New Roman" w:hAnsi="Times New Roman" w:cs="Times New Roman"/>
        </w:rPr>
        <w:t xml:space="preserve"> </w:t>
      </w:r>
      <w:r w:rsidRPr="00964DBB">
        <w:rPr>
          <w:rFonts w:ascii="Times New Roman" w:hAnsi="Times New Roman" w:cs="Times New Roman"/>
        </w:rPr>
        <w:t>l</w:t>
      </w:r>
      <w:r>
        <w:rPr>
          <w:rFonts w:ascii="Times New Roman" w:hAnsi="Times New Roman" w:cs="Times New Roman"/>
        </w:rPr>
        <w:t>a teoría del encuadre</w:t>
      </w:r>
      <w:r w:rsidRPr="00964DBB">
        <w:rPr>
          <w:rFonts w:ascii="Times New Roman" w:hAnsi="Times New Roman" w:cs="Times New Roman"/>
        </w:rPr>
        <w:t xml:space="preserve"> ha sido la identificación de los distintos tipos de encuadres noticiosos</w:t>
      </w:r>
      <w:r>
        <w:rPr>
          <w:rFonts w:ascii="Times New Roman" w:hAnsi="Times New Roman" w:cs="Times New Roman"/>
        </w:rPr>
        <w:t>, estableciendo listados más o menos amplios con los que poder analizar los contenidos informativos de los medios. Unos listados que no sólo son empleados para realizar análisis de contenidos mediáticos, sino también para determinar el impacto que el enfoque de la información transmitida tiene sobre quienes las consumen</w:t>
      </w:r>
      <w:r w:rsidRPr="00964DBB">
        <w:rPr>
          <w:rFonts w:ascii="Times New Roman" w:hAnsi="Times New Roman" w:cs="Times New Roman"/>
        </w:rPr>
        <w:t>, es decir, explicar el proceso del</w:t>
      </w:r>
      <w:r>
        <w:rPr>
          <w:rFonts w:ascii="Times New Roman" w:hAnsi="Times New Roman" w:cs="Times New Roman"/>
        </w:rPr>
        <w:t xml:space="preserve"> establecimiento del encuadre noticioso</w:t>
      </w:r>
      <w:r w:rsidRPr="00964DBB">
        <w:rPr>
          <w:rFonts w:ascii="Times New Roman" w:hAnsi="Times New Roman" w:cs="Times New Roman"/>
        </w:rPr>
        <w:t xml:space="preserve">. </w:t>
      </w:r>
      <w:r>
        <w:rPr>
          <w:rFonts w:ascii="Times New Roman" w:hAnsi="Times New Roman" w:cs="Times New Roman"/>
        </w:rPr>
        <w:t xml:space="preserve">Normalmente, las técnicas seguidas para determinar y analizar la presencia de estos encuadres en la información noticiosa han sido de tipo cuantitativo a través de análisis de contenido. Acogiéndonos a estas técnicas, los investigadores han determinado que existen dos </w:t>
      </w:r>
      <w:r w:rsidRPr="00964DBB">
        <w:rPr>
          <w:rFonts w:ascii="Times New Roman" w:hAnsi="Times New Roman" w:cs="Times New Roman"/>
        </w:rPr>
        <w:t xml:space="preserve">posibles acercamientos al análisis de este contenido: el </w:t>
      </w:r>
      <w:r w:rsidRPr="00964DBB">
        <w:rPr>
          <w:rFonts w:ascii="Times New Roman" w:hAnsi="Times New Roman" w:cs="Times New Roman"/>
          <w:i/>
        </w:rPr>
        <w:t>deductivo</w:t>
      </w:r>
      <w:r w:rsidRPr="00964DBB">
        <w:rPr>
          <w:rFonts w:ascii="Times New Roman" w:hAnsi="Times New Roman" w:cs="Times New Roman"/>
        </w:rPr>
        <w:t xml:space="preserve"> y el </w:t>
      </w:r>
      <w:r w:rsidRPr="00964DBB">
        <w:rPr>
          <w:rFonts w:ascii="Times New Roman" w:hAnsi="Times New Roman" w:cs="Times New Roman"/>
          <w:i/>
        </w:rPr>
        <w:t>inductivo</w:t>
      </w:r>
      <w:r>
        <w:rPr>
          <w:rFonts w:ascii="Times New Roman" w:hAnsi="Times New Roman" w:cs="Times New Roman"/>
          <w:i/>
        </w:rPr>
        <w:t xml:space="preserve"> </w:t>
      </w:r>
      <w:r>
        <w:rPr>
          <w:rFonts w:ascii="Times New Roman" w:hAnsi="Times New Roman" w:cs="Times New Roman"/>
        </w:rPr>
        <w:t xml:space="preserve">(de </w:t>
      </w:r>
      <w:proofErr w:type="spellStart"/>
      <w:r>
        <w:rPr>
          <w:rFonts w:ascii="Times New Roman" w:hAnsi="Times New Roman" w:cs="Times New Roman"/>
        </w:rPr>
        <w:t>Vreese</w:t>
      </w:r>
      <w:proofErr w:type="spellEnd"/>
      <w:r>
        <w:rPr>
          <w:rFonts w:ascii="Times New Roman" w:hAnsi="Times New Roman" w:cs="Times New Roman"/>
        </w:rPr>
        <w:t>, 2003; Igartua y Humanes, 2004)</w:t>
      </w:r>
      <w:r w:rsidRPr="00964DBB">
        <w:rPr>
          <w:rFonts w:ascii="Times New Roman" w:hAnsi="Times New Roman" w:cs="Times New Roman"/>
        </w:rPr>
        <w:t xml:space="preserve">. </w:t>
      </w:r>
    </w:p>
    <w:p w:rsidR="004E6676" w:rsidRDefault="004E6676" w:rsidP="004E6676">
      <w:pPr>
        <w:adjustRightInd w:val="0"/>
        <w:snapToGrid w:val="0"/>
        <w:jc w:val="both"/>
        <w:rPr>
          <w:b/>
          <w:lang w:val="es-MX"/>
        </w:rPr>
      </w:pPr>
    </w:p>
    <w:p w:rsidR="004E6676" w:rsidRDefault="004E6676" w:rsidP="004E6676">
      <w:pPr>
        <w:pStyle w:val="NormalArial"/>
        <w:ind w:left="0" w:firstLine="708"/>
        <w:rPr>
          <w:rFonts w:ascii="Times New Roman" w:hAnsi="Times New Roman" w:cs="Times New Roman"/>
        </w:rPr>
      </w:pPr>
      <w:r>
        <w:rPr>
          <w:rFonts w:ascii="Times New Roman" w:hAnsi="Times New Roman" w:cs="Times New Roman"/>
        </w:rPr>
        <w:t>En el procedimiento</w:t>
      </w:r>
      <w:r w:rsidRPr="003F5F76">
        <w:rPr>
          <w:rFonts w:ascii="Times New Roman" w:hAnsi="Times New Roman" w:cs="Times New Roman"/>
        </w:rPr>
        <w:t xml:space="preserve"> deductivo se parte de la definición previa de determinados encuadres que actuarán como variables analíticas a la hora de realizar el análisis de contenido de las noticias estudiadas (de </w:t>
      </w:r>
      <w:proofErr w:type="spellStart"/>
      <w:r w:rsidRPr="003F5F76">
        <w:rPr>
          <w:rFonts w:ascii="Times New Roman" w:hAnsi="Times New Roman" w:cs="Times New Roman"/>
        </w:rPr>
        <w:t>Vreese</w:t>
      </w:r>
      <w:proofErr w:type="spellEnd"/>
      <w:r w:rsidRPr="003F5F76">
        <w:rPr>
          <w:rFonts w:ascii="Times New Roman" w:hAnsi="Times New Roman" w:cs="Times New Roman"/>
        </w:rPr>
        <w:t>, 2003)</w:t>
      </w:r>
      <w:r>
        <w:rPr>
          <w:rFonts w:ascii="Times New Roman" w:hAnsi="Times New Roman" w:cs="Times New Roman"/>
        </w:rPr>
        <w:t xml:space="preserve">. El objetivo de este análisis es finalmente </w:t>
      </w:r>
      <w:r w:rsidRPr="003F5F76">
        <w:rPr>
          <w:rFonts w:ascii="Times New Roman" w:hAnsi="Times New Roman" w:cs="Times New Roman"/>
        </w:rPr>
        <w:t xml:space="preserve">verificar su existencia y presencia en la información (Igartua y Humanes, 2004). Este tipo de acercamiento goza de ventajas, </w:t>
      </w:r>
      <w:r>
        <w:rPr>
          <w:rFonts w:ascii="Times New Roman" w:hAnsi="Times New Roman" w:cs="Times New Roman"/>
        </w:rPr>
        <w:t>ya</w:t>
      </w:r>
      <w:r w:rsidRPr="003F5F76">
        <w:rPr>
          <w:rFonts w:ascii="Times New Roman" w:hAnsi="Times New Roman" w:cs="Times New Roman"/>
        </w:rPr>
        <w:t xml:space="preserve"> que los análisis de contenido </w:t>
      </w:r>
      <w:r>
        <w:rPr>
          <w:rFonts w:ascii="Times New Roman" w:hAnsi="Times New Roman" w:cs="Times New Roman"/>
        </w:rPr>
        <w:t>son</w:t>
      </w:r>
      <w:r w:rsidRPr="003F5F76">
        <w:rPr>
          <w:rFonts w:ascii="Times New Roman" w:hAnsi="Times New Roman" w:cs="Times New Roman"/>
        </w:rPr>
        <w:t xml:space="preserve"> más sencillos de realizar y que una misma metodología se pueda aplicar a muestras grandes de noticias. </w:t>
      </w:r>
      <w:r>
        <w:rPr>
          <w:rFonts w:ascii="Times New Roman" w:hAnsi="Times New Roman" w:cs="Times New Roman"/>
        </w:rPr>
        <w:t>Además</w:t>
      </w:r>
      <w:r w:rsidRPr="003F5F76">
        <w:rPr>
          <w:rFonts w:ascii="Times New Roman" w:hAnsi="Times New Roman" w:cs="Times New Roman"/>
        </w:rPr>
        <w:t xml:space="preserve">, permite descubrir fácilmente las diferencias en el uso de los distintos encuadres noticiosos planteados por parte de los medios de comunicación, o dentro de estos medios entre las diferentes secciones y/o programas (de </w:t>
      </w:r>
      <w:proofErr w:type="spellStart"/>
      <w:r w:rsidRPr="003F5F76">
        <w:rPr>
          <w:rFonts w:ascii="Times New Roman" w:hAnsi="Times New Roman" w:cs="Times New Roman"/>
        </w:rPr>
        <w:t>Vreese</w:t>
      </w:r>
      <w:proofErr w:type="spellEnd"/>
      <w:r w:rsidRPr="003F5F76">
        <w:rPr>
          <w:rFonts w:ascii="Times New Roman" w:hAnsi="Times New Roman" w:cs="Times New Roman"/>
        </w:rPr>
        <w:t xml:space="preserve">, 2003). </w:t>
      </w:r>
      <w:r>
        <w:rPr>
          <w:rFonts w:ascii="Times New Roman" w:hAnsi="Times New Roman" w:cs="Times New Roman"/>
        </w:rPr>
        <w:t>También conlleva</w:t>
      </w:r>
      <w:r w:rsidRPr="003F5F76">
        <w:rPr>
          <w:rFonts w:ascii="Times New Roman" w:hAnsi="Times New Roman" w:cs="Times New Roman"/>
        </w:rPr>
        <w:t xml:space="preserve"> ciertos problemas, como el hecho de que siempre se tenga la posibilidad de que </w:t>
      </w:r>
      <w:r>
        <w:rPr>
          <w:rFonts w:ascii="Times New Roman" w:hAnsi="Times New Roman" w:cs="Times New Roman"/>
        </w:rPr>
        <w:t>algunos</w:t>
      </w:r>
      <w:r w:rsidRPr="003F5F76">
        <w:rPr>
          <w:rFonts w:ascii="Times New Roman" w:hAnsi="Times New Roman" w:cs="Times New Roman"/>
        </w:rPr>
        <w:t xml:space="preserve"> encuadres no sean tenidos en cuenta, debido a que </w:t>
      </w:r>
      <w:r w:rsidRPr="003F5F76">
        <w:rPr>
          <w:rFonts w:ascii="Times New Roman" w:hAnsi="Times New Roman" w:cs="Times New Roman"/>
        </w:rPr>
        <w:lastRenderedPageBreak/>
        <w:t>el investigador ha</w:t>
      </w:r>
      <w:r>
        <w:rPr>
          <w:rFonts w:ascii="Times New Roman" w:hAnsi="Times New Roman" w:cs="Times New Roman"/>
        </w:rPr>
        <w:t>ce</w:t>
      </w:r>
      <w:r w:rsidRPr="003F5F76">
        <w:rPr>
          <w:rFonts w:ascii="Times New Roman" w:hAnsi="Times New Roman" w:cs="Times New Roman"/>
        </w:rPr>
        <w:t xml:space="preserve"> una relación incompleta de</w:t>
      </w:r>
      <w:r>
        <w:rPr>
          <w:rFonts w:ascii="Times New Roman" w:hAnsi="Times New Roman" w:cs="Times New Roman"/>
        </w:rPr>
        <w:t xml:space="preserve"> los mismos</w:t>
      </w:r>
      <w:r w:rsidRPr="003F5F76">
        <w:rPr>
          <w:rFonts w:ascii="Times New Roman" w:hAnsi="Times New Roman" w:cs="Times New Roman"/>
        </w:rPr>
        <w:t xml:space="preserve"> (Igartua y Humanes, 2004). La complejidad que conlleva </w:t>
      </w:r>
      <w:r>
        <w:rPr>
          <w:rFonts w:ascii="Times New Roman" w:hAnsi="Times New Roman" w:cs="Times New Roman"/>
        </w:rPr>
        <w:t>su</w:t>
      </w:r>
      <w:r w:rsidRPr="003F5F76">
        <w:rPr>
          <w:rFonts w:ascii="Times New Roman" w:hAnsi="Times New Roman" w:cs="Times New Roman"/>
        </w:rPr>
        <w:t xml:space="preserve"> estudio </w:t>
      </w:r>
      <w:r>
        <w:rPr>
          <w:rFonts w:ascii="Times New Roman" w:hAnsi="Times New Roman" w:cs="Times New Roman"/>
        </w:rPr>
        <w:t>d</w:t>
      </w:r>
      <w:r w:rsidRPr="003F5F76">
        <w:rPr>
          <w:rFonts w:ascii="Times New Roman" w:hAnsi="Times New Roman" w:cs="Times New Roman"/>
        </w:rPr>
        <w:t>esde una metodología inductiva ha hecho que la mayor parte de las investigaciones realizadas en</w:t>
      </w:r>
      <w:r>
        <w:rPr>
          <w:rFonts w:ascii="Times New Roman" w:hAnsi="Times New Roman" w:cs="Times New Roman"/>
        </w:rPr>
        <w:t xml:space="preserve"> la </w:t>
      </w:r>
      <w:r w:rsidRPr="003F5F76">
        <w:rPr>
          <w:rFonts w:ascii="Times New Roman" w:hAnsi="Times New Roman" w:cs="Times New Roman"/>
        </w:rPr>
        <w:t xml:space="preserve">búsqueda de los encuadres noticiosos se haya desarrollado desde un modelo deductivo. </w:t>
      </w:r>
    </w:p>
    <w:p w:rsidR="004E6676" w:rsidRPr="003F5F76" w:rsidRDefault="004E6676" w:rsidP="004E6676">
      <w:pPr>
        <w:pStyle w:val="NormalArial"/>
        <w:ind w:left="0" w:firstLine="708"/>
        <w:rPr>
          <w:rFonts w:ascii="Times New Roman" w:hAnsi="Times New Roman" w:cs="Times New Roman"/>
        </w:rPr>
      </w:pPr>
    </w:p>
    <w:p w:rsidR="004C02B6" w:rsidRPr="001C3314" w:rsidRDefault="004C02B6" w:rsidP="004E6676">
      <w:pPr>
        <w:adjustRightInd w:val="0"/>
        <w:snapToGrid w:val="0"/>
        <w:jc w:val="both"/>
        <w:rPr>
          <w:b/>
          <w:lang w:val="es-MX"/>
        </w:rPr>
      </w:pPr>
      <w:r w:rsidRPr="001C3314">
        <w:rPr>
          <w:b/>
          <w:lang w:val="es-MX"/>
        </w:rPr>
        <w:t>2.</w:t>
      </w:r>
      <w:r w:rsidR="004E6676">
        <w:rPr>
          <w:b/>
          <w:lang w:val="es-MX"/>
        </w:rPr>
        <w:t>3</w:t>
      </w:r>
      <w:r w:rsidRPr="001C3314">
        <w:rPr>
          <w:b/>
          <w:lang w:val="es-MX"/>
        </w:rPr>
        <w:t xml:space="preserve">. </w:t>
      </w:r>
      <w:proofErr w:type="spellStart"/>
      <w:r w:rsidRPr="001C3314">
        <w:rPr>
          <w:b/>
          <w:i/>
          <w:lang w:val="es-MX"/>
        </w:rPr>
        <w:t>Framing</w:t>
      </w:r>
      <w:proofErr w:type="spellEnd"/>
      <w:r w:rsidRPr="001C3314">
        <w:rPr>
          <w:b/>
          <w:lang w:val="es-MX"/>
        </w:rPr>
        <w:t xml:space="preserve"> de la información política</w:t>
      </w:r>
    </w:p>
    <w:p w:rsidR="004C02B6" w:rsidRDefault="004C02B6" w:rsidP="004E6676">
      <w:pPr>
        <w:adjustRightInd w:val="0"/>
        <w:snapToGrid w:val="0"/>
        <w:ind w:firstLine="708"/>
        <w:jc w:val="both"/>
        <w:rPr>
          <w:lang w:val="es-MX"/>
        </w:rPr>
      </w:pPr>
    </w:p>
    <w:p w:rsidR="004C02B6" w:rsidRPr="001C3314" w:rsidRDefault="004C02B6" w:rsidP="004E6676">
      <w:pPr>
        <w:adjustRightInd w:val="0"/>
        <w:snapToGrid w:val="0"/>
        <w:ind w:firstLine="708"/>
        <w:jc w:val="both"/>
        <w:rPr>
          <w:lang w:val="es-MX"/>
        </w:rPr>
      </w:pPr>
      <w:r w:rsidRPr="001C3314">
        <w:rPr>
          <w:lang w:val="es-MX"/>
        </w:rPr>
        <w:t xml:space="preserve">Han sido varias las propuestas realizadas para estudiar los </w:t>
      </w:r>
      <w:proofErr w:type="spellStart"/>
      <w:r w:rsidRPr="001C3314">
        <w:rPr>
          <w:i/>
          <w:lang w:val="es-MX"/>
        </w:rPr>
        <w:t>frames</w:t>
      </w:r>
      <w:proofErr w:type="spellEnd"/>
      <w:r w:rsidRPr="001C3314">
        <w:rPr>
          <w:lang w:val="es-MX"/>
        </w:rPr>
        <w:t xml:space="preserve"> presentes en las informaciones sobre política, bien desarrolladas en procesos electorales o durante el desarrollo de la legislatura. En la construcción de la agenda política, así como del enfoque con los que son informados los asuntos políticos a la ciudadanía, se presentan dos encuadres que se relacionan íntimamente. Por parte de la élite política se presentan los encuadres de promoción (</w:t>
      </w:r>
      <w:proofErr w:type="spellStart"/>
      <w:r w:rsidRPr="001C3314">
        <w:rPr>
          <w:i/>
          <w:lang w:val="es-MX"/>
        </w:rPr>
        <w:t>advoca</w:t>
      </w:r>
      <w:r w:rsidR="004E6676">
        <w:rPr>
          <w:i/>
          <w:lang w:val="es-MX"/>
        </w:rPr>
        <w:t>c</w:t>
      </w:r>
      <w:r w:rsidRPr="001C3314">
        <w:rPr>
          <w:i/>
          <w:lang w:val="es-MX"/>
        </w:rPr>
        <w:t>y</w:t>
      </w:r>
      <w:proofErr w:type="spellEnd"/>
      <w:r w:rsidRPr="001C3314">
        <w:rPr>
          <w:i/>
          <w:lang w:val="es-MX"/>
        </w:rPr>
        <w:t xml:space="preserve"> </w:t>
      </w:r>
      <w:proofErr w:type="spellStart"/>
      <w:r w:rsidRPr="001C3314">
        <w:rPr>
          <w:i/>
          <w:lang w:val="es-MX"/>
        </w:rPr>
        <w:t>frames</w:t>
      </w:r>
      <w:proofErr w:type="spellEnd"/>
      <w:r w:rsidRPr="001C3314">
        <w:rPr>
          <w:lang w:val="es-MX"/>
        </w:rPr>
        <w:t>), propuestos por los intervinientes en el debate político para expresar sus puntos de vista sobre los acontecimientos o asuntos de actualidad. Junto a ello, también existen los encuadres periodísticos (</w:t>
      </w:r>
      <w:proofErr w:type="spellStart"/>
      <w:r w:rsidRPr="00B8177A">
        <w:rPr>
          <w:i/>
          <w:lang w:val="es-MX"/>
        </w:rPr>
        <w:t>journalistic</w:t>
      </w:r>
      <w:proofErr w:type="spellEnd"/>
      <w:r w:rsidRPr="001C3314">
        <w:rPr>
          <w:lang w:val="es-MX"/>
        </w:rPr>
        <w:t xml:space="preserve"> </w:t>
      </w:r>
      <w:proofErr w:type="spellStart"/>
      <w:r w:rsidRPr="001C3314">
        <w:rPr>
          <w:i/>
          <w:lang w:val="es-MX"/>
        </w:rPr>
        <w:t>frame</w:t>
      </w:r>
      <w:r w:rsidRPr="001C3314">
        <w:rPr>
          <w:lang w:val="es-MX"/>
        </w:rPr>
        <w:t>s</w:t>
      </w:r>
      <w:proofErr w:type="spellEnd"/>
      <w:r w:rsidRPr="001C3314">
        <w:rPr>
          <w:lang w:val="es-MX"/>
        </w:rPr>
        <w:t xml:space="preserve">) donde los periodistas trabajan la información a partir de los encuadres transmitidos por los actores políticos, bien manteniéndolos intactos, bien proponiendo </w:t>
      </w:r>
      <w:proofErr w:type="spellStart"/>
      <w:r w:rsidRPr="001C3314">
        <w:rPr>
          <w:i/>
          <w:lang w:val="es-MX"/>
        </w:rPr>
        <w:t>frames</w:t>
      </w:r>
      <w:proofErr w:type="spellEnd"/>
      <w:r w:rsidRPr="001C3314">
        <w:rPr>
          <w:lang w:val="es-MX"/>
        </w:rPr>
        <w:t xml:space="preserve"> diferentes o bien uno que se yuxtaponga al de los políticos, haciendo así una interpretación del mismo (de </w:t>
      </w:r>
      <w:proofErr w:type="spellStart"/>
      <w:r w:rsidRPr="001C3314">
        <w:rPr>
          <w:lang w:val="es-MX"/>
        </w:rPr>
        <w:t>Vreese</w:t>
      </w:r>
      <w:proofErr w:type="spellEnd"/>
      <w:r w:rsidRPr="001C3314">
        <w:rPr>
          <w:lang w:val="es-MX"/>
        </w:rPr>
        <w:t>, 2012).</w:t>
      </w:r>
    </w:p>
    <w:p w:rsidR="004C02B6" w:rsidRDefault="004C02B6" w:rsidP="004C02B6">
      <w:pPr>
        <w:adjustRightInd w:val="0"/>
        <w:snapToGrid w:val="0"/>
        <w:ind w:firstLine="708"/>
        <w:jc w:val="both"/>
        <w:rPr>
          <w:lang w:val="es-MX"/>
        </w:rPr>
      </w:pPr>
    </w:p>
    <w:p w:rsidR="004C02B6" w:rsidRPr="001C3314" w:rsidRDefault="004C02B6" w:rsidP="004C02B6">
      <w:pPr>
        <w:adjustRightInd w:val="0"/>
        <w:snapToGrid w:val="0"/>
        <w:ind w:firstLine="708"/>
        <w:jc w:val="both"/>
        <w:rPr>
          <w:lang w:val="es-MX"/>
        </w:rPr>
      </w:pPr>
      <w:r w:rsidRPr="001C3314">
        <w:rPr>
          <w:lang w:val="es-MX"/>
        </w:rPr>
        <w:t xml:space="preserve">En una definición actual sobre los encuadres políticos, </w:t>
      </w:r>
      <w:proofErr w:type="spellStart"/>
      <w:r w:rsidRPr="001C3314">
        <w:rPr>
          <w:lang w:val="es-MX"/>
        </w:rPr>
        <w:t>Matthes</w:t>
      </w:r>
      <w:proofErr w:type="spellEnd"/>
      <w:r w:rsidRPr="001C3314">
        <w:rPr>
          <w:lang w:val="es-MX"/>
        </w:rPr>
        <w:t xml:space="preserve"> (2012) señala que son conjuntos o "paquetes de argumentos temáticos consistentes, originalmente propuestos por opositores y defensores" en una campaña o en el debate políticos (p.254). Así, plantea la posibilidad de que estos encuadres provengan tanto de los propios actores políticos como de los periodistas, al partir para su definición de los argumentos usados por unos y otros para plasmar los eventos y temas de carácter político. Unos acontecimientos que están sujetos a un proceso de selección, lo que implica la exclusión de otros eventos, y de interpretación que será negociada, contestada y modificada a lo largo del tiempo por el proceso de interacción entre los diferentes actores. Los </w:t>
      </w:r>
      <w:proofErr w:type="spellStart"/>
      <w:r w:rsidRPr="001C3314">
        <w:rPr>
          <w:i/>
          <w:lang w:val="es-MX"/>
        </w:rPr>
        <w:t>frames</w:t>
      </w:r>
      <w:proofErr w:type="spellEnd"/>
      <w:r w:rsidRPr="001C3314">
        <w:rPr>
          <w:lang w:val="es-MX"/>
        </w:rPr>
        <w:t xml:space="preserve"> son, por tanto para </w:t>
      </w:r>
      <w:proofErr w:type="spellStart"/>
      <w:r w:rsidRPr="001C3314">
        <w:rPr>
          <w:lang w:val="es-MX"/>
        </w:rPr>
        <w:t>Matthes</w:t>
      </w:r>
      <w:proofErr w:type="spellEnd"/>
      <w:r w:rsidRPr="001C3314">
        <w:rPr>
          <w:lang w:val="es-MX"/>
        </w:rPr>
        <w:t xml:space="preserve"> (2012) visiones selectivas de los temas que construyen realidad en una determinada manera que deriva en diferentes evaluaciones y recomendaciones, siguiendo así los postulados planteados por </w:t>
      </w:r>
      <w:proofErr w:type="spellStart"/>
      <w:r w:rsidRPr="001C3314">
        <w:rPr>
          <w:lang w:val="es-MX"/>
        </w:rPr>
        <w:t>Entman</w:t>
      </w:r>
      <w:proofErr w:type="spellEnd"/>
      <w:r w:rsidRPr="001C3314">
        <w:rPr>
          <w:lang w:val="es-MX"/>
        </w:rPr>
        <w:t xml:space="preserve"> (1993). </w:t>
      </w:r>
    </w:p>
    <w:p w:rsidR="004C02B6" w:rsidRDefault="004C02B6" w:rsidP="004C02B6">
      <w:pPr>
        <w:adjustRightInd w:val="0"/>
        <w:snapToGrid w:val="0"/>
        <w:jc w:val="both"/>
        <w:rPr>
          <w:lang w:val="es-MX"/>
        </w:rPr>
      </w:pPr>
      <w:r w:rsidRPr="001C3314">
        <w:rPr>
          <w:lang w:val="es-MX"/>
        </w:rPr>
        <w:t xml:space="preserve"> </w:t>
      </w:r>
      <w:r w:rsidRPr="001C3314">
        <w:rPr>
          <w:lang w:val="es-MX"/>
        </w:rPr>
        <w:tab/>
      </w:r>
    </w:p>
    <w:p w:rsidR="004C02B6" w:rsidRPr="001C3314" w:rsidRDefault="004C02B6" w:rsidP="004E6676">
      <w:pPr>
        <w:adjustRightInd w:val="0"/>
        <w:snapToGrid w:val="0"/>
        <w:jc w:val="both"/>
        <w:rPr>
          <w:lang w:val="es-MX"/>
        </w:rPr>
      </w:pPr>
      <w:r>
        <w:rPr>
          <w:lang w:val="es-MX"/>
        </w:rPr>
        <w:tab/>
      </w:r>
      <w:r w:rsidRPr="001C3314">
        <w:rPr>
          <w:lang w:val="es-MX"/>
        </w:rPr>
        <w:t xml:space="preserve">Uno de las propuestas tradicionales de </w:t>
      </w:r>
      <w:proofErr w:type="spellStart"/>
      <w:r w:rsidRPr="001C3314">
        <w:rPr>
          <w:i/>
          <w:lang w:val="es-MX"/>
        </w:rPr>
        <w:t>frame</w:t>
      </w:r>
      <w:proofErr w:type="spellEnd"/>
      <w:r w:rsidRPr="001C3314">
        <w:rPr>
          <w:lang w:val="es-MX"/>
        </w:rPr>
        <w:t xml:space="preserve"> vinculado con la política y las campañas electorales es </w:t>
      </w:r>
      <w:r w:rsidR="004E6676">
        <w:rPr>
          <w:lang w:val="es-MX"/>
        </w:rPr>
        <w:t>la de</w:t>
      </w:r>
      <w:r w:rsidRPr="001C3314">
        <w:rPr>
          <w:lang w:val="es-MX"/>
        </w:rPr>
        <w:t xml:space="preserve"> Cappella y </w:t>
      </w:r>
      <w:proofErr w:type="spellStart"/>
      <w:r w:rsidRPr="001C3314">
        <w:rPr>
          <w:lang w:val="es-MX"/>
        </w:rPr>
        <w:t>Jamieson</w:t>
      </w:r>
      <w:proofErr w:type="spellEnd"/>
      <w:r w:rsidRPr="001C3314">
        <w:rPr>
          <w:lang w:val="es-MX"/>
        </w:rPr>
        <w:t xml:space="preserve"> (1997)</w:t>
      </w:r>
      <w:r w:rsidR="004E6676">
        <w:rPr>
          <w:lang w:val="es-MX"/>
        </w:rPr>
        <w:t>, quienes</w:t>
      </w:r>
      <w:r w:rsidRPr="001C3314">
        <w:rPr>
          <w:lang w:val="es-MX"/>
        </w:rPr>
        <w:t xml:space="preserve"> plantearon que el tratamiento de la información política se realiza desde dos posibles enfoques. Por una parte, se encuentra el encuadre de estrategia o estratégico (</w:t>
      </w:r>
      <w:proofErr w:type="spellStart"/>
      <w:r w:rsidRPr="001C3314">
        <w:rPr>
          <w:i/>
          <w:lang w:val="es-MX"/>
        </w:rPr>
        <w:t>strategy</w:t>
      </w:r>
      <w:proofErr w:type="spellEnd"/>
      <w:r w:rsidRPr="001C3314">
        <w:rPr>
          <w:i/>
          <w:lang w:val="es-MX"/>
        </w:rPr>
        <w:t xml:space="preserve"> </w:t>
      </w:r>
      <w:proofErr w:type="spellStart"/>
      <w:r w:rsidRPr="001C3314">
        <w:rPr>
          <w:i/>
          <w:lang w:val="es-MX"/>
        </w:rPr>
        <w:t>frame</w:t>
      </w:r>
      <w:proofErr w:type="spellEnd"/>
      <w:r w:rsidRPr="001C3314">
        <w:rPr>
          <w:lang w:val="es-MX"/>
        </w:rPr>
        <w:t>) que conlleva enfocarse en los aspectos negativos, de enfrentamiento entre candidatos, los sondeos, etc. (</w:t>
      </w:r>
      <w:proofErr w:type="spellStart"/>
      <w:r w:rsidRPr="001C3314">
        <w:rPr>
          <w:lang w:val="es-MX"/>
        </w:rPr>
        <w:t>Aalberg</w:t>
      </w:r>
      <w:proofErr w:type="spellEnd"/>
      <w:r w:rsidRPr="001C3314">
        <w:rPr>
          <w:lang w:val="es-MX"/>
        </w:rPr>
        <w:t xml:space="preserve">, </w:t>
      </w:r>
      <w:proofErr w:type="spellStart"/>
      <w:r w:rsidRPr="001C3314">
        <w:rPr>
          <w:lang w:val="es-MX"/>
        </w:rPr>
        <w:t>Strömbäck</w:t>
      </w:r>
      <w:proofErr w:type="spellEnd"/>
      <w:r w:rsidRPr="001C3314">
        <w:rPr>
          <w:lang w:val="es-MX"/>
        </w:rPr>
        <w:t xml:space="preserve"> y de </w:t>
      </w:r>
      <w:proofErr w:type="spellStart"/>
      <w:r w:rsidRPr="001C3314">
        <w:rPr>
          <w:lang w:val="es-MX"/>
        </w:rPr>
        <w:t>Vreese</w:t>
      </w:r>
      <w:proofErr w:type="spellEnd"/>
      <w:r w:rsidRPr="001C3314">
        <w:rPr>
          <w:lang w:val="es-MX"/>
        </w:rPr>
        <w:t xml:space="preserve">, 2012; de </w:t>
      </w:r>
      <w:proofErr w:type="spellStart"/>
      <w:r w:rsidRPr="001C3314">
        <w:rPr>
          <w:lang w:val="es-MX"/>
        </w:rPr>
        <w:t>Vreese</w:t>
      </w:r>
      <w:proofErr w:type="spellEnd"/>
      <w:r w:rsidRPr="001C3314">
        <w:rPr>
          <w:lang w:val="es-MX"/>
        </w:rPr>
        <w:t xml:space="preserve">, 2003, 2005; </w:t>
      </w:r>
      <w:proofErr w:type="spellStart"/>
      <w:r w:rsidRPr="001C3314">
        <w:rPr>
          <w:lang w:val="es-MX"/>
        </w:rPr>
        <w:t>Dimitrova</w:t>
      </w:r>
      <w:proofErr w:type="spellEnd"/>
      <w:r w:rsidRPr="001C3314">
        <w:rPr>
          <w:lang w:val="es-MX"/>
        </w:rPr>
        <w:t xml:space="preserve"> y </w:t>
      </w:r>
      <w:proofErr w:type="spellStart"/>
      <w:r w:rsidRPr="001C3314">
        <w:rPr>
          <w:lang w:val="es-MX"/>
        </w:rPr>
        <w:t>Strömbäck</w:t>
      </w:r>
      <w:proofErr w:type="spellEnd"/>
      <w:r w:rsidRPr="001C3314">
        <w:rPr>
          <w:lang w:val="es-MX"/>
        </w:rPr>
        <w:t>, 2011; Kim, 2009). Es el más usado en las campañas electorales y genera noticias que se centran “en la estrategia del candidato, en los aspectos en que se vence o se pierde dentro de la campaña y en los intereses de los propios políticos” (</w:t>
      </w:r>
      <w:proofErr w:type="spellStart"/>
      <w:r w:rsidRPr="001C3314">
        <w:rPr>
          <w:lang w:val="es-MX"/>
        </w:rPr>
        <w:t>Rhee</w:t>
      </w:r>
      <w:proofErr w:type="spellEnd"/>
      <w:r w:rsidRPr="001C3314">
        <w:rPr>
          <w:lang w:val="es-MX"/>
        </w:rPr>
        <w:t>, 1997, p. 30). Frente a este encuadre, se sitúa el denominado como encuadre del acontecimiento o temático (</w:t>
      </w:r>
      <w:proofErr w:type="spellStart"/>
      <w:r w:rsidRPr="001C3314">
        <w:rPr>
          <w:i/>
          <w:lang w:val="es-MX"/>
        </w:rPr>
        <w:t>issue</w:t>
      </w:r>
      <w:proofErr w:type="spellEnd"/>
      <w:r w:rsidRPr="001C3314">
        <w:rPr>
          <w:i/>
          <w:lang w:val="es-MX"/>
        </w:rPr>
        <w:t xml:space="preserve"> </w:t>
      </w:r>
      <w:proofErr w:type="spellStart"/>
      <w:r w:rsidRPr="001C3314">
        <w:rPr>
          <w:i/>
          <w:lang w:val="es-MX"/>
        </w:rPr>
        <w:t>frame</w:t>
      </w:r>
      <w:proofErr w:type="spellEnd"/>
      <w:r w:rsidRPr="001C3314">
        <w:rPr>
          <w:lang w:val="es-MX"/>
        </w:rPr>
        <w:t xml:space="preserve">), que en palabras de </w:t>
      </w:r>
      <w:proofErr w:type="spellStart"/>
      <w:r w:rsidRPr="001C3314">
        <w:rPr>
          <w:lang w:val="es-MX"/>
        </w:rPr>
        <w:t>Rhee</w:t>
      </w:r>
      <w:proofErr w:type="spellEnd"/>
      <w:r w:rsidRPr="001C3314">
        <w:rPr>
          <w:lang w:val="es-MX"/>
        </w:rPr>
        <w:t xml:space="preserve"> (1997) es utilizado en las noticias para “aportar propuestas a los problemas planteados, información sobre quién está aportando estas alternativas y las consecuencias de los problemas y las propuestas planteadas” (p. 30). Es decir, es el utilizado para dar información sobre las propuestas de los candidatos y partidos en especial en el contexto de una campaña electoral. Dos encuadres que, aunque son considerados como prototípicos dentro de la información sobre campañas políticas (</w:t>
      </w:r>
      <w:proofErr w:type="spellStart"/>
      <w:r w:rsidRPr="001C3314">
        <w:rPr>
          <w:lang w:val="es-MX"/>
        </w:rPr>
        <w:t>Rhee</w:t>
      </w:r>
      <w:proofErr w:type="spellEnd"/>
      <w:r w:rsidRPr="001C3314">
        <w:rPr>
          <w:lang w:val="es-MX"/>
        </w:rPr>
        <w:t xml:space="preserve">, 1997), </w:t>
      </w:r>
      <w:r w:rsidRPr="001C3314">
        <w:rPr>
          <w:lang w:val="es-MX"/>
        </w:rPr>
        <w:lastRenderedPageBreak/>
        <w:t xml:space="preserve">también son usados en la cobertura informativa de otro tipo de asuntos referidos a la política (Cappella y </w:t>
      </w:r>
      <w:proofErr w:type="spellStart"/>
      <w:r w:rsidRPr="001C3314">
        <w:rPr>
          <w:lang w:val="es-MX"/>
        </w:rPr>
        <w:t>Jamieson</w:t>
      </w:r>
      <w:proofErr w:type="spellEnd"/>
      <w:r w:rsidRPr="001C3314">
        <w:rPr>
          <w:lang w:val="es-MX"/>
        </w:rPr>
        <w:t xml:space="preserve">, 1997; de </w:t>
      </w:r>
      <w:proofErr w:type="spellStart"/>
      <w:r w:rsidRPr="001C3314">
        <w:rPr>
          <w:lang w:val="es-MX"/>
        </w:rPr>
        <w:t>Vreese</w:t>
      </w:r>
      <w:proofErr w:type="spellEnd"/>
      <w:r w:rsidRPr="001C3314">
        <w:rPr>
          <w:lang w:val="es-MX"/>
        </w:rPr>
        <w:t>, 2003).</w:t>
      </w:r>
    </w:p>
    <w:p w:rsidR="004C02B6" w:rsidRDefault="004C02B6" w:rsidP="004C02B6">
      <w:pPr>
        <w:adjustRightInd w:val="0"/>
        <w:snapToGrid w:val="0"/>
        <w:ind w:firstLine="708"/>
        <w:jc w:val="both"/>
        <w:rPr>
          <w:lang w:val="es-MX"/>
        </w:rPr>
      </w:pPr>
    </w:p>
    <w:p w:rsidR="004C02B6" w:rsidRPr="001C3314" w:rsidRDefault="004C02B6" w:rsidP="004C02B6">
      <w:pPr>
        <w:adjustRightInd w:val="0"/>
        <w:snapToGrid w:val="0"/>
        <w:ind w:firstLine="708"/>
        <w:jc w:val="both"/>
        <w:rPr>
          <w:lang w:val="es-MX"/>
        </w:rPr>
      </w:pPr>
      <w:r w:rsidRPr="001C3314">
        <w:rPr>
          <w:lang w:val="es-MX"/>
        </w:rPr>
        <w:t xml:space="preserve">Aunque parece existir una claridad teórica sobre la existencia de este tipo de encuadres, más de corte estratégico o temático, hay mayor vaguedad en cuanto a las estrategias que se deben seguir para </w:t>
      </w:r>
      <w:proofErr w:type="spellStart"/>
      <w:r w:rsidRPr="001C3314">
        <w:rPr>
          <w:lang w:val="es-MX"/>
        </w:rPr>
        <w:t>operacionalizar</w:t>
      </w:r>
      <w:proofErr w:type="spellEnd"/>
      <w:r w:rsidRPr="001C3314">
        <w:rPr>
          <w:lang w:val="es-MX"/>
        </w:rPr>
        <w:t xml:space="preserve"> estos encuadres y determinar la presencia de cada enfoque particular en las noticias (de </w:t>
      </w:r>
      <w:proofErr w:type="spellStart"/>
      <w:r w:rsidRPr="001C3314">
        <w:rPr>
          <w:lang w:val="es-MX"/>
        </w:rPr>
        <w:t>Vreese</w:t>
      </w:r>
      <w:proofErr w:type="spellEnd"/>
      <w:r w:rsidRPr="001C3314">
        <w:rPr>
          <w:lang w:val="es-MX"/>
        </w:rPr>
        <w:t xml:space="preserve">, 2005). Entre los ejercicios al respecto se encuentran los de de </w:t>
      </w:r>
      <w:proofErr w:type="spellStart"/>
      <w:r w:rsidRPr="001C3314">
        <w:rPr>
          <w:lang w:val="es-MX"/>
        </w:rPr>
        <w:t>Vreese</w:t>
      </w:r>
      <w:proofErr w:type="spellEnd"/>
      <w:r w:rsidRPr="001C3314">
        <w:rPr>
          <w:lang w:val="es-MX"/>
        </w:rPr>
        <w:t xml:space="preserve"> (2005), </w:t>
      </w:r>
      <w:proofErr w:type="spellStart"/>
      <w:r w:rsidRPr="001C3314">
        <w:rPr>
          <w:lang w:val="es-MX"/>
        </w:rPr>
        <w:t>Elenbaas</w:t>
      </w:r>
      <w:proofErr w:type="spellEnd"/>
      <w:r w:rsidRPr="001C3314">
        <w:rPr>
          <w:lang w:val="es-MX"/>
        </w:rPr>
        <w:t xml:space="preserve"> y de </w:t>
      </w:r>
      <w:proofErr w:type="spellStart"/>
      <w:r w:rsidRPr="001C3314">
        <w:rPr>
          <w:lang w:val="es-MX"/>
        </w:rPr>
        <w:t>Vreese</w:t>
      </w:r>
      <w:proofErr w:type="spellEnd"/>
      <w:r w:rsidRPr="001C3314">
        <w:rPr>
          <w:lang w:val="es-MX"/>
        </w:rPr>
        <w:t xml:space="preserve"> (2008), </w:t>
      </w:r>
      <w:proofErr w:type="spellStart"/>
      <w:r w:rsidRPr="001C3314">
        <w:rPr>
          <w:lang w:val="es-MX"/>
        </w:rPr>
        <w:t>Floss</w:t>
      </w:r>
      <w:proofErr w:type="spellEnd"/>
      <w:r w:rsidRPr="001C3314">
        <w:rPr>
          <w:lang w:val="es-MX"/>
        </w:rPr>
        <w:t xml:space="preserve"> y </w:t>
      </w:r>
      <w:proofErr w:type="spellStart"/>
      <w:r w:rsidRPr="001C3314">
        <w:rPr>
          <w:lang w:val="es-MX"/>
        </w:rPr>
        <w:t>Marcinkowski</w:t>
      </w:r>
      <w:proofErr w:type="spellEnd"/>
      <w:r w:rsidRPr="001C3314">
        <w:rPr>
          <w:lang w:val="es-MX"/>
        </w:rPr>
        <w:t xml:space="preserve"> (2008), Kim (2009) y más recientemente </w:t>
      </w:r>
      <w:proofErr w:type="spellStart"/>
      <w:r w:rsidRPr="001C3314">
        <w:rPr>
          <w:lang w:val="es-MX"/>
        </w:rPr>
        <w:t>Dimitrova</w:t>
      </w:r>
      <w:proofErr w:type="spellEnd"/>
      <w:r w:rsidRPr="001C3314">
        <w:rPr>
          <w:lang w:val="es-MX"/>
        </w:rPr>
        <w:t xml:space="preserve"> y </w:t>
      </w:r>
      <w:proofErr w:type="spellStart"/>
      <w:r w:rsidRPr="001C3314">
        <w:rPr>
          <w:lang w:val="es-MX"/>
        </w:rPr>
        <w:t>Strömbäck</w:t>
      </w:r>
      <w:proofErr w:type="spellEnd"/>
      <w:r w:rsidRPr="001C3314">
        <w:rPr>
          <w:lang w:val="es-MX"/>
        </w:rPr>
        <w:t xml:space="preserve"> (2011). En algunos de ellos se ha evaluado de forma individual cada uno de los aspectos que implican el tratamiento estratégico, señalando la existencia de cinco indicadores de este tipo de noticias. Es el caso de los estudios de de </w:t>
      </w:r>
      <w:proofErr w:type="spellStart"/>
      <w:r w:rsidRPr="001C3314">
        <w:rPr>
          <w:lang w:val="es-MX"/>
        </w:rPr>
        <w:t>Vreese</w:t>
      </w:r>
      <w:proofErr w:type="spellEnd"/>
      <w:r w:rsidRPr="001C3314">
        <w:rPr>
          <w:lang w:val="es-MX"/>
        </w:rPr>
        <w:t xml:space="preserve"> (2005), </w:t>
      </w:r>
      <w:proofErr w:type="spellStart"/>
      <w:r w:rsidRPr="001C3314">
        <w:rPr>
          <w:lang w:val="es-MX"/>
        </w:rPr>
        <w:t>Elenbaas</w:t>
      </w:r>
      <w:proofErr w:type="spellEnd"/>
      <w:r w:rsidRPr="001C3314">
        <w:rPr>
          <w:lang w:val="es-MX"/>
        </w:rPr>
        <w:t xml:space="preserve"> y </w:t>
      </w:r>
      <w:proofErr w:type="spellStart"/>
      <w:r w:rsidRPr="001C3314">
        <w:rPr>
          <w:lang w:val="es-MX"/>
        </w:rPr>
        <w:t>deVreese</w:t>
      </w:r>
      <w:proofErr w:type="spellEnd"/>
      <w:r w:rsidRPr="001C3314">
        <w:rPr>
          <w:lang w:val="es-MX"/>
        </w:rPr>
        <w:t xml:space="preserve"> (2008) quienes detectaron una importancia fuerte en el uso periodístico del enfoque del estilo y presentación de los políticos junto al uso de lenguaje en términos de guerra y deporte. Por su parte, </w:t>
      </w:r>
      <w:proofErr w:type="spellStart"/>
      <w:r w:rsidRPr="001C3314">
        <w:rPr>
          <w:lang w:val="es-MX"/>
        </w:rPr>
        <w:t>Floss</w:t>
      </w:r>
      <w:proofErr w:type="spellEnd"/>
      <w:r w:rsidRPr="001C3314">
        <w:rPr>
          <w:lang w:val="es-MX"/>
        </w:rPr>
        <w:t xml:space="preserve"> y </w:t>
      </w:r>
      <w:proofErr w:type="spellStart"/>
      <w:r w:rsidRPr="001C3314">
        <w:rPr>
          <w:lang w:val="es-MX"/>
        </w:rPr>
        <w:t>Marcinkowski</w:t>
      </w:r>
      <w:proofErr w:type="spellEnd"/>
      <w:r w:rsidRPr="001C3314">
        <w:rPr>
          <w:lang w:val="es-MX"/>
        </w:rPr>
        <w:t xml:space="preserve"> (2008) se centraron en el estudio del modo en que se presentan en los medios la toma de decisiones políticas, que se puede enfocar desde la negociación política con los encuadres de orientación colectiva y de consenso, o bien como un procedimiento jerárquico o mayoritario, donde emergen los encuadres de personalización y conflicto y que a la postre fueron los que dominaros. También se han realizado estudios comparativos entre el uso del encuadre estratégico frente al temático (</w:t>
      </w:r>
      <w:proofErr w:type="spellStart"/>
      <w:r w:rsidRPr="001C3314">
        <w:rPr>
          <w:lang w:val="es-MX"/>
        </w:rPr>
        <w:t>Dimitrova</w:t>
      </w:r>
      <w:proofErr w:type="spellEnd"/>
      <w:r w:rsidRPr="001C3314">
        <w:rPr>
          <w:lang w:val="es-MX"/>
        </w:rPr>
        <w:t xml:space="preserve"> y </w:t>
      </w:r>
      <w:proofErr w:type="spellStart"/>
      <w:r w:rsidRPr="001C3314">
        <w:rPr>
          <w:lang w:val="es-MX"/>
        </w:rPr>
        <w:t>Strömbäck</w:t>
      </w:r>
      <w:proofErr w:type="spellEnd"/>
      <w:r w:rsidRPr="001C3314">
        <w:rPr>
          <w:lang w:val="es-MX"/>
        </w:rPr>
        <w:t xml:space="preserve">, 2011; Kim, 2009) detectándose el dominio del encuadre estratégico en el trabajo periodístico sobre política. </w:t>
      </w:r>
    </w:p>
    <w:p w:rsidR="004C02B6" w:rsidRPr="001C3314" w:rsidRDefault="004C02B6" w:rsidP="004C02B6">
      <w:pPr>
        <w:adjustRightInd w:val="0"/>
        <w:snapToGrid w:val="0"/>
        <w:ind w:firstLine="708"/>
        <w:jc w:val="both"/>
        <w:rPr>
          <w:lang w:val="es-MX"/>
        </w:rPr>
      </w:pPr>
    </w:p>
    <w:p w:rsidR="004C02B6" w:rsidRPr="001C3314" w:rsidRDefault="004C02B6" w:rsidP="004C02B6">
      <w:pPr>
        <w:adjustRightInd w:val="0"/>
        <w:snapToGrid w:val="0"/>
        <w:ind w:firstLine="708"/>
        <w:jc w:val="both"/>
        <w:rPr>
          <w:lang w:val="es-MX"/>
        </w:rPr>
      </w:pPr>
      <w:r w:rsidRPr="001C3314">
        <w:rPr>
          <w:lang w:val="es-MX"/>
        </w:rPr>
        <w:t xml:space="preserve">A la vista de la literatura revisada, y teniendo en cuenta que hasta donde se ha podido comprobar éste es el primer estudio de este tipo en el contexto mexicano, se desarrolló un análisis de contenido a fin de tratar de dar respuesta a las siguientes preguntas de investigación. </w:t>
      </w:r>
    </w:p>
    <w:p w:rsidR="004C02B6" w:rsidRPr="001C3314" w:rsidRDefault="004C02B6" w:rsidP="004C02B6">
      <w:pPr>
        <w:adjustRightInd w:val="0"/>
        <w:snapToGrid w:val="0"/>
        <w:ind w:firstLine="708"/>
        <w:jc w:val="both"/>
        <w:rPr>
          <w:lang w:val="es-MX"/>
        </w:rPr>
      </w:pPr>
    </w:p>
    <w:p w:rsidR="004C02B6" w:rsidRPr="009F6DB2" w:rsidRDefault="004C02B6" w:rsidP="004C02B6">
      <w:pPr>
        <w:adjustRightInd w:val="0"/>
        <w:snapToGrid w:val="0"/>
        <w:ind w:left="705" w:hanging="705"/>
        <w:jc w:val="both"/>
        <w:rPr>
          <w:i/>
          <w:lang w:val="es-MX"/>
        </w:rPr>
      </w:pPr>
      <w:r w:rsidRPr="009F6DB2">
        <w:rPr>
          <w:i/>
          <w:lang w:val="es-MX"/>
        </w:rPr>
        <w:t>PI1:</w:t>
      </w:r>
      <w:r w:rsidRPr="009F6DB2">
        <w:rPr>
          <w:i/>
          <w:lang w:val="es-MX"/>
        </w:rPr>
        <w:tab/>
        <w:t>¿Se pueden detectar en el corpus de notas analizado la presencia de los encuadres noticiosos estratégico y temático, en la línea expresada por los estudios previos?</w:t>
      </w:r>
    </w:p>
    <w:p w:rsidR="004C02B6" w:rsidRPr="009F6DB2" w:rsidRDefault="004C02B6" w:rsidP="004C02B6">
      <w:pPr>
        <w:adjustRightInd w:val="0"/>
        <w:snapToGrid w:val="0"/>
        <w:ind w:left="705" w:hanging="705"/>
        <w:jc w:val="both"/>
        <w:rPr>
          <w:i/>
          <w:lang w:val="es-MX"/>
        </w:rPr>
      </w:pPr>
      <w:r w:rsidRPr="009F6DB2">
        <w:rPr>
          <w:i/>
          <w:lang w:val="es-MX"/>
        </w:rPr>
        <w:t>PI2:</w:t>
      </w:r>
      <w:r w:rsidRPr="009F6DB2">
        <w:rPr>
          <w:i/>
          <w:lang w:val="es-MX"/>
        </w:rPr>
        <w:tab/>
        <w:t>¿Qué encuadre noticioso fue en mayor medida empleado por la prensa digital mexicana para dar cobertura a la campaña electoral presidencial de 2006?</w:t>
      </w:r>
    </w:p>
    <w:p w:rsidR="004C02B6" w:rsidRPr="009F6DB2" w:rsidRDefault="004C02B6" w:rsidP="004C02B6">
      <w:pPr>
        <w:adjustRightInd w:val="0"/>
        <w:snapToGrid w:val="0"/>
        <w:ind w:left="705" w:hanging="705"/>
        <w:jc w:val="both"/>
        <w:rPr>
          <w:i/>
          <w:lang w:val="es-MX"/>
        </w:rPr>
      </w:pPr>
      <w:r w:rsidRPr="009F6DB2">
        <w:rPr>
          <w:i/>
          <w:lang w:val="es-MX"/>
        </w:rPr>
        <w:t>PI3:</w:t>
      </w:r>
      <w:r w:rsidRPr="009F6DB2">
        <w:rPr>
          <w:i/>
          <w:lang w:val="es-MX"/>
        </w:rPr>
        <w:tab/>
        <w:t>¿Se detecta una estrategia diferenciada en la cobertura de la campaña electoral ofrecida por los diferentes periódicos?</w:t>
      </w:r>
    </w:p>
    <w:p w:rsidR="008E3677" w:rsidRPr="00A53087" w:rsidRDefault="008E3677" w:rsidP="004C02B6">
      <w:pPr>
        <w:jc w:val="both"/>
      </w:pPr>
    </w:p>
    <w:p w:rsidR="008E3677" w:rsidRPr="00C464FE" w:rsidRDefault="008E3677" w:rsidP="00C464FE">
      <w:pPr>
        <w:jc w:val="both"/>
        <w:rPr>
          <w:b/>
        </w:rPr>
      </w:pPr>
      <w:r w:rsidRPr="00A53087">
        <w:rPr>
          <w:b/>
        </w:rPr>
        <w:t>3. Mé</w:t>
      </w:r>
      <w:r w:rsidRPr="00C464FE">
        <w:rPr>
          <w:b/>
        </w:rPr>
        <w:t>todo</w:t>
      </w:r>
    </w:p>
    <w:p w:rsidR="009F6DB2" w:rsidRPr="00C464FE" w:rsidRDefault="009F6DB2" w:rsidP="00C464FE">
      <w:pPr>
        <w:jc w:val="both"/>
        <w:rPr>
          <w:b/>
        </w:rPr>
      </w:pPr>
    </w:p>
    <w:p w:rsidR="008E3677" w:rsidRPr="00C464FE" w:rsidRDefault="008E3677" w:rsidP="00C464FE">
      <w:pPr>
        <w:jc w:val="both"/>
        <w:rPr>
          <w:b/>
        </w:rPr>
      </w:pPr>
      <w:r w:rsidRPr="00C464FE">
        <w:rPr>
          <w:b/>
        </w:rPr>
        <w:t>3.1. Muestra y unidad de análisis</w:t>
      </w:r>
    </w:p>
    <w:p w:rsidR="008E3677" w:rsidRPr="00C464FE" w:rsidRDefault="008E3677" w:rsidP="00C464FE">
      <w:pPr>
        <w:jc w:val="both"/>
      </w:pPr>
    </w:p>
    <w:p w:rsidR="00C464FE" w:rsidRPr="00C464FE" w:rsidRDefault="00C464FE" w:rsidP="00C464FE">
      <w:pPr>
        <w:ind w:firstLine="708"/>
        <w:jc w:val="both"/>
      </w:pPr>
      <w:r w:rsidRPr="00C464FE">
        <w:t xml:space="preserve">A fin de dar respuesta a las preguntas planteadas en la investigación, se analizaron las noticias aparecidas referentes a la campaña electoral presidencial mexicana de 2012 aparecidas en las versiones digitales de cinco periódicos de tirada nacional en el país. En este sentido, se revisaron las webs de los periódicos </w:t>
      </w:r>
      <w:r w:rsidRPr="00C464FE">
        <w:rPr>
          <w:i/>
        </w:rPr>
        <w:t>El Universal</w:t>
      </w:r>
      <w:r w:rsidRPr="00C464FE">
        <w:t xml:space="preserve">, </w:t>
      </w:r>
      <w:r w:rsidRPr="00C464FE">
        <w:rPr>
          <w:i/>
        </w:rPr>
        <w:t>Reforma</w:t>
      </w:r>
      <w:r w:rsidRPr="00C464FE">
        <w:t xml:space="preserve">, </w:t>
      </w:r>
      <w:r w:rsidRPr="00C464FE">
        <w:rPr>
          <w:i/>
        </w:rPr>
        <w:t>La</w:t>
      </w:r>
      <w:r w:rsidRPr="00C464FE">
        <w:t xml:space="preserve"> </w:t>
      </w:r>
      <w:r w:rsidRPr="00C464FE">
        <w:rPr>
          <w:i/>
        </w:rPr>
        <w:t>Jornada</w:t>
      </w:r>
      <w:r w:rsidRPr="00C464FE">
        <w:t xml:space="preserve">, </w:t>
      </w:r>
      <w:proofErr w:type="spellStart"/>
      <w:r w:rsidRPr="00C464FE">
        <w:rPr>
          <w:i/>
        </w:rPr>
        <w:t>Excelsior</w:t>
      </w:r>
      <w:proofErr w:type="spellEnd"/>
      <w:r w:rsidRPr="00C464FE">
        <w:rPr>
          <w:i/>
        </w:rPr>
        <w:t xml:space="preserve"> </w:t>
      </w:r>
      <w:r w:rsidRPr="00C464FE">
        <w:t xml:space="preserve">y </w:t>
      </w:r>
      <w:r w:rsidRPr="00C464FE">
        <w:rPr>
          <w:i/>
        </w:rPr>
        <w:t>Milenio</w:t>
      </w:r>
      <w:r w:rsidRPr="00C464FE">
        <w:t xml:space="preserve"> en su versión electrónica. Para localizar las noticias, se realizó un muestreo durante los tres meses de campaña electoral </w:t>
      </w:r>
      <w:r w:rsidRPr="00C464FE">
        <w:rPr>
          <w:lang w:val="es-MX"/>
        </w:rPr>
        <w:t xml:space="preserve">mediante un sistema aleatorio sistemático, el cual se basó en una semana construida en intervalos de tres días. De esta manera, se comenzó a contar desde el día 30 de marzo, inicio de la campaña, y hasta el 1 de julio en que se realizaron las elecciones, ambas fechas incluidas. </w:t>
      </w:r>
      <w:r w:rsidRPr="00C464FE">
        <w:t xml:space="preserve">El proceso de búsqueda dio como resultado la detección de 1287 notas </w:t>
      </w:r>
      <w:r w:rsidRPr="00C464FE">
        <w:lastRenderedPageBreak/>
        <w:t xml:space="preserve">informativas o unidades de análisis, una muestra que se considera representativa del total de las publicadas durante toda la campaña electoral de 2012 en los periódicos estudiados. </w:t>
      </w:r>
    </w:p>
    <w:p w:rsidR="00C464FE" w:rsidRDefault="00C464FE" w:rsidP="00C464FE">
      <w:pPr>
        <w:rPr>
          <w:b/>
          <w:lang w:val="es-MX"/>
        </w:rPr>
      </w:pPr>
    </w:p>
    <w:p w:rsidR="00C464FE" w:rsidRDefault="00C464FE" w:rsidP="00C464FE">
      <w:pPr>
        <w:rPr>
          <w:b/>
          <w:color w:val="000000"/>
        </w:rPr>
      </w:pPr>
      <w:r w:rsidRPr="00C464FE">
        <w:rPr>
          <w:b/>
          <w:lang w:val="es-MX"/>
        </w:rPr>
        <w:t xml:space="preserve">Tabla 1. </w:t>
      </w:r>
      <w:r w:rsidRPr="00384EB0">
        <w:rPr>
          <w:color w:val="000000"/>
        </w:rPr>
        <w:t>Análisis descriptivo de la muestra de notas informativas</w:t>
      </w:r>
    </w:p>
    <w:p w:rsidR="00C464FE" w:rsidRPr="00C464FE" w:rsidRDefault="00C464FE" w:rsidP="00C464FE">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14"/>
        <w:gridCol w:w="4596"/>
        <w:gridCol w:w="955"/>
        <w:gridCol w:w="1440"/>
      </w:tblGrid>
      <w:tr w:rsidR="00C464FE" w:rsidRPr="00C464FE" w:rsidTr="00E404DC">
        <w:trPr>
          <w:jc w:val="center"/>
        </w:trPr>
        <w:tc>
          <w:tcPr>
            <w:tcW w:w="4898" w:type="dxa"/>
            <w:gridSpan w:val="3"/>
            <w:tcBorders>
              <w:top w:val="single" w:sz="12" w:space="0" w:color="auto"/>
              <w:left w:val="nil"/>
              <w:bottom w:val="single" w:sz="2" w:space="0" w:color="auto"/>
              <w:right w:val="nil"/>
            </w:tcBorders>
          </w:tcPr>
          <w:p w:rsidR="00C464FE" w:rsidRPr="00C464FE" w:rsidRDefault="00C464FE" w:rsidP="00E404DC">
            <w:pPr>
              <w:jc w:val="center"/>
            </w:pPr>
            <w:r w:rsidRPr="00C464FE">
              <w:t>Variables</w:t>
            </w:r>
          </w:p>
        </w:tc>
        <w:tc>
          <w:tcPr>
            <w:tcW w:w="955" w:type="dxa"/>
            <w:vMerge w:val="restart"/>
            <w:tcBorders>
              <w:top w:val="single" w:sz="12" w:space="0" w:color="auto"/>
              <w:left w:val="nil"/>
              <w:bottom w:val="single" w:sz="2" w:space="0" w:color="auto"/>
              <w:right w:val="nil"/>
            </w:tcBorders>
            <w:vAlign w:val="center"/>
          </w:tcPr>
          <w:p w:rsidR="00C464FE" w:rsidRPr="00C464FE" w:rsidRDefault="00C464FE" w:rsidP="00E404DC">
            <w:pPr>
              <w:jc w:val="center"/>
              <w:rPr>
                <w:i/>
              </w:rPr>
            </w:pPr>
            <w:r w:rsidRPr="00C464FE">
              <w:rPr>
                <w:i/>
              </w:rPr>
              <w:t>n</w:t>
            </w:r>
          </w:p>
        </w:tc>
        <w:tc>
          <w:tcPr>
            <w:tcW w:w="1440" w:type="dxa"/>
            <w:vMerge w:val="restart"/>
            <w:tcBorders>
              <w:top w:val="single" w:sz="12" w:space="0" w:color="auto"/>
              <w:left w:val="nil"/>
              <w:bottom w:val="single" w:sz="2" w:space="0" w:color="auto"/>
              <w:right w:val="nil"/>
            </w:tcBorders>
            <w:vAlign w:val="center"/>
          </w:tcPr>
          <w:p w:rsidR="00C464FE" w:rsidRPr="00C464FE" w:rsidRDefault="00C464FE" w:rsidP="00E404DC">
            <w:pPr>
              <w:jc w:val="center"/>
            </w:pPr>
            <w:r w:rsidRPr="00C464FE">
              <w:t>%</w:t>
            </w:r>
          </w:p>
        </w:tc>
      </w:tr>
      <w:tr w:rsidR="00C464FE" w:rsidRPr="00C464FE" w:rsidTr="00E404DC">
        <w:trPr>
          <w:jc w:val="center"/>
        </w:trPr>
        <w:tc>
          <w:tcPr>
            <w:tcW w:w="4898" w:type="dxa"/>
            <w:gridSpan w:val="3"/>
            <w:tcBorders>
              <w:top w:val="single" w:sz="2" w:space="0" w:color="auto"/>
              <w:left w:val="nil"/>
              <w:bottom w:val="single" w:sz="4" w:space="0" w:color="auto"/>
              <w:right w:val="nil"/>
            </w:tcBorders>
          </w:tcPr>
          <w:p w:rsidR="00C464FE" w:rsidRPr="00C464FE" w:rsidRDefault="00C464FE" w:rsidP="00E404DC">
            <w:pPr>
              <w:jc w:val="both"/>
            </w:pPr>
            <w:r w:rsidRPr="00C464FE">
              <w:rPr>
                <w:bCs/>
                <w:color w:val="000000"/>
              </w:rPr>
              <w:t>Diario o periódico analizado</w:t>
            </w:r>
          </w:p>
        </w:tc>
        <w:tc>
          <w:tcPr>
            <w:tcW w:w="955" w:type="dxa"/>
            <w:vMerge/>
            <w:tcBorders>
              <w:top w:val="single" w:sz="2" w:space="0" w:color="auto"/>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p>
        </w:tc>
        <w:tc>
          <w:tcPr>
            <w:tcW w:w="1440" w:type="dxa"/>
            <w:vMerge/>
            <w:tcBorders>
              <w:top w:val="single" w:sz="2" w:space="0" w:color="auto"/>
              <w:left w:val="nil"/>
              <w:bottom w:val="single" w:sz="4" w:space="0" w:color="auto"/>
              <w:right w:val="nil"/>
            </w:tcBorders>
          </w:tcPr>
          <w:p w:rsidR="00C464FE" w:rsidRPr="00C464FE" w:rsidRDefault="00C464FE" w:rsidP="00E404DC">
            <w:pPr>
              <w:autoSpaceDE w:val="0"/>
              <w:autoSpaceDN w:val="0"/>
              <w:adjustRightInd w:val="0"/>
              <w:jc w:val="center"/>
              <w:rPr>
                <w:color w:val="000000"/>
              </w:rPr>
            </w:pPr>
          </w:p>
        </w:tc>
      </w:tr>
      <w:tr w:rsidR="00C464FE" w:rsidRPr="00C464FE" w:rsidTr="00E404DC">
        <w:trPr>
          <w:jc w:val="center"/>
        </w:trPr>
        <w:tc>
          <w:tcPr>
            <w:tcW w:w="288" w:type="dxa"/>
            <w:tcBorders>
              <w:top w:val="single" w:sz="4" w:space="0" w:color="auto"/>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610" w:type="dxa"/>
            <w:gridSpan w:val="2"/>
            <w:tcBorders>
              <w:top w:val="single" w:sz="4" w:space="0" w:color="auto"/>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La Jornada</w:t>
            </w:r>
          </w:p>
        </w:tc>
        <w:tc>
          <w:tcPr>
            <w:tcW w:w="955" w:type="dxa"/>
            <w:tcBorders>
              <w:top w:val="single" w:sz="4" w:space="0" w:color="auto"/>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179</w:t>
            </w:r>
          </w:p>
        </w:tc>
        <w:tc>
          <w:tcPr>
            <w:tcW w:w="1440" w:type="dxa"/>
            <w:tcBorders>
              <w:top w:val="single" w:sz="4" w:space="0" w:color="auto"/>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13.9</w:t>
            </w:r>
          </w:p>
        </w:tc>
      </w:tr>
      <w:tr w:rsidR="00C464FE" w:rsidRPr="00C464FE" w:rsidTr="00E404DC">
        <w:trPr>
          <w:jc w:val="center"/>
        </w:trPr>
        <w:tc>
          <w:tcPr>
            <w:tcW w:w="288" w:type="dxa"/>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610" w:type="dxa"/>
            <w:gridSpan w:val="2"/>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Reforma</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336</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26.1</w:t>
            </w:r>
          </w:p>
        </w:tc>
      </w:tr>
      <w:tr w:rsidR="00C464FE" w:rsidRPr="00C464FE" w:rsidTr="00E404DC">
        <w:trPr>
          <w:jc w:val="center"/>
        </w:trPr>
        <w:tc>
          <w:tcPr>
            <w:tcW w:w="288" w:type="dxa"/>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610" w:type="dxa"/>
            <w:gridSpan w:val="2"/>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proofErr w:type="spellStart"/>
            <w:r w:rsidRPr="00C464FE">
              <w:rPr>
                <w:color w:val="000000"/>
              </w:rPr>
              <w:t>Excelsior</w:t>
            </w:r>
            <w:proofErr w:type="spellEnd"/>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429</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33.3</w:t>
            </w:r>
          </w:p>
        </w:tc>
      </w:tr>
      <w:tr w:rsidR="00C464FE" w:rsidRPr="00C464FE" w:rsidTr="00E404DC">
        <w:trPr>
          <w:jc w:val="center"/>
        </w:trPr>
        <w:tc>
          <w:tcPr>
            <w:tcW w:w="288" w:type="dxa"/>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610" w:type="dxa"/>
            <w:gridSpan w:val="2"/>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Milenio</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132</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10.3</w:t>
            </w:r>
          </w:p>
        </w:tc>
      </w:tr>
      <w:tr w:rsidR="00C464FE" w:rsidRPr="00C464FE" w:rsidTr="00E404DC">
        <w:trPr>
          <w:jc w:val="center"/>
        </w:trPr>
        <w:tc>
          <w:tcPr>
            <w:tcW w:w="288" w:type="dxa"/>
            <w:tcBorders>
              <w:top w:val="nil"/>
              <w:left w:val="nil"/>
              <w:bottom w:val="single" w:sz="4" w:space="0" w:color="auto"/>
              <w:right w:val="nil"/>
            </w:tcBorders>
            <w:shd w:val="clear" w:color="auto" w:fill="auto"/>
          </w:tcPr>
          <w:p w:rsidR="00C464FE" w:rsidRPr="00C464FE" w:rsidRDefault="00C464FE" w:rsidP="00E404DC">
            <w:pPr>
              <w:autoSpaceDE w:val="0"/>
              <w:autoSpaceDN w:val="0"/>
              <w:adjustRightInd w:val="0"/>
              <w:rPr>
                <w:color w:val="000000"/>
              </w:rPr>
            </w:pPr>
          </w:p>
        </w:tc>
        <w:tc>
          <w:tcPr>
            <w:tcW w:w="4610" w:type="dxa"/>
            <w:gridSpan w:val="2"/>
            <w:tcBorders>
              <w:top w:val="nil"/>
              <w:left w:val="nil"/>
              <w:bottom w:val="single" w:sz="4" w:space="0" w:color="auto"/>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El Universal</w:t>
            </w:r>
          </w:p>
        </w:tc>
        <w:tc>
          <w:tcPr>
            <w:tcW w:w="955" w:type="dxa"/>
            <w:tcBorders>
              <w:top w:val="nil"/>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211</w:t>
            </w:r>
          </w:p>
        </w:tc>
        <w:tc>
          <w:tcPr>
            <w:tcW w:w="1440" w:type="dxa"/>
            <w:tcBorders>
              <w:top w:val="nil"/>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16.4</w:t>
            </w:r>
          </w:p>
        </w:tc>
      </w:tr>
      <w:tr w:rsidR="00C464FE" w:rsidRPr="00C464FE" w:rsidTr="00E404DC">
        <w:trPr>
          <w:jc w:val="center"/>
        </w:trPr>
        <w:tc>
          <w:tcPr>
            <w:tcW w:w="4898" w:type="dxa"/>
            <w:gridSpan w:val="3"/>
            <w:tcBorders>
              <w:top w:val="single" w:sz="4" w:space="0" w:color="auto"/>
              <w:left w:val="nil"/>
              <w:bottom w:val="single" w:sz="4" w:space="0" w:color="auto"/>
              <w:right w:val="nil"/>
            </w:tcBorders>
          </w:tcPr>
          <w:p w:rsidR="00C464FE" w:rsidRPr="00C464FE" w:rsidRDefault="00C464FE" w:rsidP="00E404DC">
            <w:pPr>
              <w:jc w:val="both"/>
            </w:pPr>
            <w:r w:rsidRPr="00C464FE">
              <w:rPr>
                <w:bCs/>
                <w:color w:val="000000"/>
              </w:rPr>
              <w:t>Sección</w:t>
            </w:r>
          </w:p>
        </w:tc>
        <w:tc>
          <w:tcPr>
            <w:tcW w:w="955" w:type="dxa"/>
            <w:tcBorders>
              <w:top w:val="single" w:sz="4" w:space="0" w:color="auto"/>
              <w:left w:val="nil"/>
              <w:bottom w:val="single" w:sz="4" w:space="0" w:color="auto"/>
              <w:right w:val="nil"/>
            </w:tcBorders>
          </w:tcPr>
          <w:p w:rsidR="00C464FE" w:rsidRPr="00C464FE" w:rsidRDefault="00C464FE" w:rsidP="00E404DC">
            <w:pPr>
              <w:jc w:val="center"/>
            </w:pPr>
          </w:p>
        </w:tc>
        <w:tc>
          <w:tcPr>
            <w:tcW w:w="1440" w:type="dxa"/>
            <w:tcBorders>
              <w:top w:val="single" w:sz="4" w:space="0" w:color="auto"/>
              <w:left w:val="nil"/>
              <w:bottom w:val="single" w:sz="4" w:space="0" w:color="auto"/>
              <w:right w:val="nil"/>
            </w:tcBorders>
          </w:tcPr>
          <w:p w:rsidR="00C464FE" w:rsidRPr="00C464FE" w:rsidRDefault="00C464FE" w:rsidP="00E404DC">
            <w:pPr>
              <w:jc w:val="center"/>
            </w:pPr>
          </w:p>
        </w:tc>
      </w:tr>
      <w:tr w:rsidR="00C464FE" w:rsidRPr="00C464FE" w:rsidTr="00E404DC">
        <w:trPr>
          <w:jc w:val="center"/>
        </w:trPr>
        <w:tc>
          <w:tcPr>
            <w:tcW w:w="302" w:type="dxa"/>
            <w:gridSpan w:val="2"/>
            <w:tcBorders>
              <w:top w:val="single" w:sz="4" w:space="0" w:color="auto"/>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single" w:sz="4" w:space="0" w:color="auto"/>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Local</w:t>
            </w:r>
          </w:p>
        </w:tc>
        <w:tc>
          <w:tcPr>
            <w:tcW w:w="955" w:type="dxa"/>
            <w:tcBorders>
              <w:top w:val="single" w:sz="4" w:space="0" w:color="auto"/>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10</w:t>
            </w:r>
          </w:p>
        </w:tc>
        <w:tc>
          <w:tcPr>
            <w:tcW w:w="1440" w:type="dxa"/>
            <w:tcBorders>
              <w:top w:val="single" w:sz="4" w:space="0" w:color="auto"/>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.8</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Nacional</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337</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26.2</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Internacional</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21</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1.6</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Política</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605</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47.0</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Otras</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314</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24.4</w:t>
            </w:r>
          </w:p>
        </w:tc>
      </w:tr>
      <w:tr w:rsidR="00C464FE" w:rsidRPr="00C464FE" w:rsidTr="00E404DC">
        <w:trPr>
          <w:jc w:val="center"/>
        </w:trPr>
        <w:tc>
          <w:tcPr>
            <w:tcW w:w="4898" w:type="dxa"/>
            <w:gridSpan w:val="3"/>
            <w:tcBorders>
              <w:top w:val="single" w:sz="4" w:space="0" w:color="auto"/>
              <w:left w:val="nil"/>
              <w:bottom w:val="single" w:sz="4" w:space="0" w:color="auto"/>
              <w:right w:val="nil"/>
            </w:tcBorders>
          </w:tcPr>
          <w:p w:rsidR="00C464FE" w:rsidRPr="00C464FE" w:rsidRDefault="00C464FE" w:rsidP="00E404DC">
            <w:pPr>
              <w:jc w:val="both"/>
            </w:pPr>
            <w:r w:rsidRPr="00C464FE">
              <w:rPr>
                <w:bCs/>
                <w:color w:val="000000"/>
              </w:rPr>
              <w:t>Género de la información</w:t>
            </w:r>
          </w:p>
        </w:tc>
        <w:tc>
          <w:tcPr>
            <w:tcW w:w="955" w:type="dxa"/>
            <w:tcBorders>
              <w:top w:val="single" w:sz="4" w:space="0" w:color="auto"/>
              <w:left w:val="nil"/>
              <w:bottom w:val="single" w:sz="4" w:space="0" w:color="auto"/>
              <w:right w:val="nil"/>
            </w:tcBorders>
          </w:tcPr>
          <w:p w:rsidR="00C464FE" w:rsidRPr="00C464FE" w:rsidRDefault="00C464FE" w:rsidP="00E404DC">
            <w:pPr>
              <w:jc w:val="center"/>
            </w:pPr>
          </w:p>
        </w:tc>
        <w:tc>
          <w:tcPr>
            <w:tcW w:w="1440" w:type="dxa"/>
            <w:tcBorders>
              <w:top w:val="single" w:sz="4" w:space="0" w:color="auto"/>
              <w:left w:val="nil"/>
              <w:bottom w:val="single" w:sz="4" w:space="0" w:color="auto"/>
              <w:right w:val="nil"/>
            </w:tcBorders>
          </w:tcPr>
          <w:p w:rsidR="00C464FE" w:rsidRPr="00C464FE" w:rsidRDefault="00C464FE" w:rsidP="00E404DC">
            <w:pPr>
              <w:jc w:val="center"/>
            </w:pPr>
          </w:p>
        </w:tc>
      </w:tr>
      <w:tr w:rsidR="00C464FE" w:rsidRPr="00C464FE" w:rsidTr="00E404DC">
        <w:trPr>
          <w:jc w:val="center"/>
        </w:trPr>
        <w:tc>
          <w:tcPr>
            <w:tcW w:w="302" w:type="dxa"/>
            <w:gridSpan w:val="2"/>
            <w:tcBorders>
              <w:top w:val="single" w:sz="4" w:space="0" w:color="auto"/>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single" w:sz="4" w:space="0" w:color="auto"/>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Noticia</w:t>
            </w:r>
          </w:p>
        </w:tc>
        <w:tc>
          <w:tcPr>
            <w:tcW w:w="955" w:type="dxa"/>
            <w:tcBorders>
              <w:top w:val="single" w:sz="4" w:space="0" w:color="auto"/>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1033</w:t>
            </w:r>
          </w:p>
        </w:tc>
        <w:tc>
          <w:tcPr>
            <w:tcW w:w="1440" w:type="dxa"/>
            <w:tcBorders>
              <w:top w:val="single" w:sz="4" w:space="0" w:color="auto"/>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80.3</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Reportaje</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146</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11.3</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Breve</w:t>
            </w:r>
          </w:p>
        </w:tc>
        <w:tc>
          <w:tcPr>
            <w:tcW w:w="955"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95</w:t>
            </w:r>
          </w:p>
        </w:tc>
        <w:tc>
          <w:tcPr>
            <w:tcW w:w="1440" w:type="dxa"/>
            <w:tcBorders>
              <w:top w:val="nil"/>
              <w:left w:val="nil"/>
              <w:bottom w:val="nil"/>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7.4</w:t>
            </w:r>
          </w:p>
        </w:tc>
      </w:tr>
      <w:tr w:rsidR="00C464FE" w:rsidRPr="00C464FE" w:rsidTr="00E404DC">
        <w:trPr>
          <w:jc w:val="center"/>
        </w:trPr>
        <w:tc>
          <w:tcPr>
            <w:tcW w:w="302" w:type="dxa"/>
            <w:gridSpan w:val="2"/>
            <w:tcBorders>
              <w:top w:val="nil"/>
              <w:left w:val="nil"/>
              <w:bottom w:val="single" w:sz="4" w:space="0" w:color="auto"/>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single" w:sz="4" w:space="0" w:color="auto"/>
              <w:right w:val="nil"/>
            </w:tcBorders>
            <w:shd w:val="clear" w:color="auto" w:fill="auto"/>
            <w:vAlign w:val="center"/>
          </w:tcPr>
          <w:p w:rsidR="00C464FE" w:rsidRPr="00C464FE" w:rsidRDefault="00C464FE" w:rsidP="00E404DC">
            <w:pPr>
              <w:autoSpaceDE w:val="0"/>
              <w:autoSpaceDN w:val="0"/>
              <w:adjustRightInd w:val="0"/>
              <w:rPr>
                <w:color w:val="000000"/>
              </w:rPr>
            </w:pPr>
            <w:r w:rsidRPr="00C464FE">
              <w:rPr>
                <w:color w:val="000000"/>
              </w:rPr>
              <w:t>Entrevista</w:t>
            </w:r>
          </w:p>
        </w:tc>
        <w:tc>
          <w:tcPr>
            <w:tcW w:w="955" w:type="dxa"/>
            <w:tcBorders>
              <w:top w:val="nil"/>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13</w:t>
            </w:r>
          </w:p>
        </w:tc>
        <w:tc>
          <w:tcPr>
            <w:tcW w:w="1440" w:type="dxa"/>
            <w:tcBorders>
              <w:top w:val="nil"/>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w:t>
            </w:r>
          </w:p>
        </w:tc>
      </w:tr>
      <w:tr w:rsidR="00C464FE" w:rsidRPr="00C464FE" w:rsidTr="00E404DC">
        <w:trPr>
          <w:jc w:val="center"/>
        </w:trPr>
        <w:tc>
          <w:tcPr>
            <w:tcW w:w="4898" w:type="dxa"/>
            <w:gridSpan w:val="3"/>
            <w:tcBorders>
              <w:top w:val="single" w:sz="4" w:space="0" w:color="auto"/>
              <w:left w:val="nil"/>
              <w:bottom w:val="single" w:sz="4" w:space="0" w:color="auto"/>
              <w:right w:val="nil"/>
            </w:tcBorders>
          </w:tcPr>
          <w:p w:rsidR="00C464FE" w:rsidRPr="00C464FE" w:rsidRDefault="00C464FE" w:rsidP="00E404DC">
            <w:pPr>
              <w:autoSpaceDE w:val="0"/>
              <w:autoSpaceDN w:val="0"/>
              <w:adjustRightInd w:val="0"/>
              <w:rPr>
                <w:color w:val="000000"/>
              </w:rPr>
            </w:pPr>
            <w:r w:rsidRPr="00C464FE">
              <w:rPr>
                <w:bCs/>
                <w:color w:val="000000"/>
              </w:rPr>
              <w:t>Fuente informativa principal</w:t>
            </w:r>
          </w:p>
        </w:tc>
        <w:tc>
          <w:tcPr>
            <w:tcW w:w="955" w:type="dxa"/>
            <w:tcBorders>
              <w:top w:val="single" w:sz="4" w:space="0" w:color="auto"/>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p>
        </w:tc>
        <w:tc>
          <w:tcPr>
            <w:tcW w:w="1440" w:type="dxa"/>
            <w:tcBorders>
              <w:top w:val="single" w:sz="4" w:space="0" w:color="auto"/>
              <w:left w:val="nil"/>
              <w:bottom w:val="single" w:sz="4" w:space="0" w:color="auto"/>
              <w:right w:val="nil"/>
            </w:tcBorders>
          </w:tcPr>
          <w:p w:rsidR="00C464FE" w:rsidRPr="00C464FE" w:rsidRDefault="00C464FE" w:rsidP="00E404DC">
            <w:pPr>
              <w:autoSpaceDE w:val="0"/>
              <w:autoSpaceDN w:val="0"/>
              <w:adjustRightInd w:val="0"/>
              <w:jc w:val="center"/>
              <w:rPr>
                <w:color w:val="000000"/>
              </w:rPr>
            </w:pPr>
          </w:p>
        </w:tc>
      </w:tr>
      <w:tr w:rsidR="00C464FE" w:rsidRPr="00C464FE" w:rsidTr="00E404DC">
        <w:trPr>
          <w:jc w:val="center"/>
        </w:trPr>
        <w:tc>
          <w:tcPr>
            <w:tcW w:w="302" w:type="dxa"/>
            <w:gridSpan w:val="2"/>
            <w:tcBorders>
              <w:top w:val="single" w:sz="4" w:space="0" w:color="auto"/>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single" w:sz="4" w:space="0" w:color="auto"/>
              <w:left w:val="nil"/>
              <w:bottom w:val="nil"/>
              <w:right w:val="nil"/>
            </w:tcBorders>
            <w:shd w:val="clear" w:color="auto" w:fill="auto"/>
            <w:vAlign w:val="bottom"/>
          </w:tcPr>
          <w:p w:rsidR="00C464FE" w:rsidRPr="00C464FE" w:rsidRDefault="00C464FE" w:rsidP="00E404DC">
            <w:pPr>
              <w:autoSpaceDE w:val="0"/>
              <w:autoSpaceDN w:val="0"/>
              <w:adjustRightInd w:val="0"/>
              <w:rPr>
                <w:color w:val="000000"/>
              </w:rPr>
            </w:pPr>
            <w:r w:rsidRPr="00C464FE">
              <w:rPr>
                <w:color w:val="000000"/>
              </w:rPr>
              <w:t>No aplica</w:t>
            </w:r>
          </w:p>
        </w:tc>
        <w:tc>
          <w:tcPr>
            <w:tcW w:w="955" w:type="dxa"/>
            <w:tcBorders>
              <w:top w:val="single" w:sz="4" w:space="0" w:color="auto"/>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45</w:t>
            </w:r>
          </w:p>
        </w:tc>
        <w:tc>
          <w:tcPr>
            <w:tcW w:w="1440" w:type="dxa"/>
            <w:tcBorders>
              <w:top w:val="single" w:sz="4" w:space="0" w:color="auto"/>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3.5</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bottom"/>
          </w:tcPr>
          <w:p w:rsidR="00C464FE" w:rsidRPr="00C464FE" w:rsidRDefault="00C464FE" w:rsidP="00E404DC">
            <w:pPr>
              <w:autoSpaceDE w:val="0"/>
              <w:autoSpaceDN w:val="0"/>
              <w:adjustRightInd w:val="0"/>
              <w:rPr>
                <w:color w:val="000000"/>
              </w:rPr>
            </w:pPr>
            <w:r w:rsidRPr="00C464FE">
              <w:rPr>
                <w:color w:val="000000"/>
              </w:rPr>
              <w:t>Candidatos políticos</w:t>
            </w:r>
          </w:p>
        </w:tc>
        <w:tc>
          <w:tcPr>
            <w:tcW w:w="955"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967</w:t>
            </w:r>
          </w:p>
        </w:tc>
        <w:tc>
          <w:tcPr>
            <w:tcW w:w="1440"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75.1</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bottom"/>
          </w:tcPr>
          <w:p w:rsidR="00C464FE" w:rsidRPr="00C464FE" w:rsidRDefault="00C464FE" w:rsidP="00E404DC">
            <w:pPr>
              <w:autoSpaceDE w:val="0"/>
              <w:autoSpaceDN w:val="0"/>
              <w:adjustRightInd w:val="0"/>
              <w:rPr>
                <w:color w:val="000000"/>
              </w:rPr>
            </w:pPr>
            <w:r w:rsidRPr="00C464FE">
              <w:rPr>
                <w:color w:val="000000"/>
              </w:rPr>
              <w:t>Representantes políticos y/o institucionales</w:t>
            </w:r>
          </w:p>
        </w:tc>
        <w:tc>
          <w:tcPr>
            <w:tcW w:w="955"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166</w:t>
            </w:r>
          </w:p>
        </w:tc>
        <w:tc>
          <w:tcPr>
            <w:tcW w:w="1440"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12.8</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bottom"/>
          </w:tcPr>
          <w:p w:rsidR="00C464FE" w:rsidRPr="00C464FE" w:rsidRDefault="00C464FE" w:rsidP="00E404DC">
            <w:pPr>
              <w:autoSpaceDE w:val="0"/>
              <w:autoSpaceDN w:val="0"/>
              <w:adjustRightInd w:val="0"/>
              <w:rPr>
                <w:color w:val="000000"/>
              </w:rPr>
            </w:pPr>
            <w:r w:rsidRPr="00C464FE">
              <w:rPr>
                <w:color w:val="000000"/>
              </w:rPr>
              <w:t>Empresarios y sindicalistas</w:t>
            </w:r>
          </w:p>
        </w:tc>
        <w:tc>
          <w:tcPr>
            <w:tcW w:w="955"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11</w:t>
            </w:r>
          </w:p>
        </w:tc>
        <w:tc>
          <w:tcPr>
            <w:tcW w:w="1440"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0.8</w:t>
            </w:r>
          </w:p>
        </w:tc>
      </w:tr>
      <w:tr w:rsidR="00C464FE" w:rsidRPr="00C464FE" w:rsidTr="00E404DC">
        <w:trPr>
          <w:jc w:val="center"/>
        </w:trPr>
        <w:tc>
          <w:tcPr>
            <w:tcW w:w="302" w:type="dxa"/>
            <w:gridSpan w:val="2"/>
            <w:tcBorders>
              <w:top w:val="nil"/>
              <w:left w:val="nil"/>
              <w:bottom w:val="nil"/>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nil"/>
              <w:right w:val="nil"/>
            </w:tcBorders>
            <w:shd w:val="clear" w:color="auto" w:fill="auto"/>
            <w:vAlign w:val="bottom"/>
          </w:tcPr>
          <w:p w:rsidR="00C464FE" w:rsidRPr="00C464FE" w:rsidRDefault="00C464FE" w:rsidP="00E404DC">
            <w:pPr>
              <w:autoSpaceDE w:val="0"/>
              <w:autoSpaceDN w:val="0"/>
              <w:adjustRightInd w:val="0"/>
              <w:rPr>
                <w:color w:val="000000"/>
              </w:rPr>
            </w:pPr>
            <w:r w:rsidRPr="00C464FE">
              <w:rPr>
                <w:color w:val="000000"/>
              </w:rPr>
              <w:t>Miembros de la sociedad civil</w:t>
            </w:r>
          </w:p>
        </w:tc>
        <w:tc>
          <w:tcPr>
            <w:tcW w:w="955"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58</w:t>
            </w:r>
          </w:p>
        </w:tc>
        <w:tc>
          <w:tcPr>
            <w:tcW w:w="1440" w:type="dxa"/>
            <w:tcBorders>
              <w:top w:val="nil"/>
              <w:left w:val="nil"/>
              <w:bottom w:val="nil"/>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4.6</w:t>
            </w:r>
          </w:p>
        </w:tc>
      </w:tr>
      <w:tr w:rsidR="00C464FE" w:rsidRPr="00C464FE" w:rsidTr="00E404DC">
        <w:trPr>
          <w:jc w:val="center"/>
        </w:trPr>
        <w:tc>
          <w:tcPr>
            <w:tcW w:w="302" w:type="dxa"/>
            <w:gridSpan w:val="2"/>
            <w:tcBorders>
              <w:top w:val="nil"/>
              <w:left w:val="nil"/>
              <w:bottom w:val="single" w:sz="4" w:space="0" w:color="auto"/>
              <w:right w:val="nil"/>
            </w:tcBorders>
            <w:shd w:val="clear" w:color="auto" w:fill="auto"/>
          </w:tcPr>
          <w:p w:rsidR="00C464FE" w:rsidRPr="00C464FE" w:rsidRDefault="00C464FE" w:rsidP="00E404DC">
            <w:pPr>
              <w:autoSpaceDE w:val="0"/>
              <w:autoSpaceDN w:val="0"/>
              <w:adjustRightInd w:val="0"/>
              <w:rPr>
                <w:color w:val="000000"/>
              </w:rPr>
            </w:pPr>
          </w:p>
        </w:tc>
        <w:tc>
          <w:tcPr>
            <w:tcW w:w="4596" w:type="dxa"/>
            <w:tcBorders>
              <w:top w:val="nil"/>
              <w:left w:val="nil"/>
              <w:bottom w:val="single" w:sz="4" w:space="0" w:color="auto"/>
              <w:right w:val="nil"/>
            </w:tcBorders>
            <w:shd w:val="clear" w:color="auto" w:fill="auto"/>
            <w:vAlign w:val="bottom"/>
          </w:tcPr>
          <w:p w:rsidR="00C464FE" w:rsidRPr="00C464FE" w:rsidRDefault="00C464FE" w:rsidP="00E404DC">
            <w:pPr>
              <w:autoSpaceDE w:val="0"/>
              <w:autoSpaceDN w:val="0"/>
              <w:adjustRightInd w:val="0"/>
              <w:rPr>
                <w:color w:val="000000"/>
              </w:rPr>
            </w:pPr>
            <w:r w:rsidRPr="00C464FE">
              <w:rPr>
                <w:color w:val="000000"/>
              </w:rPr>
              <w:t>Otros actores</w:t>
            </w:r>
          </w:p>
        </w:tc>
        <w:tc>
          <w:tcPr>
            <w:tcW w:w="955" w:type="dxa"/>
            <w:tcBorders>
              <w:top w:val="nil"/>
              <w:left w:val="nil"/>
              <w:bottom w:val="single" w:sz="4" w:space="0" w:color="auto"/>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40</w:t>
            </w:r>
          </w:p>
        </w:tc>
        <w:tc>
          <w:tcPr>
            <w:tcW w:w="1440" w:type="dxa"/>
            <w:tcBorders>
              <w:top w:val="nil"/>
              <w:left w:val="nil"/>
              <w:bottom w:val="single" w:sz="4" w:space="0" w:color="auto"/>
              <w:right w:val="nil"/>
            </w:tcBorders>
            <w:vAlign w:val="bottom"/>
          </w:tcPr>
          <w:p w:rsidR="00C464FE" w:rsidRPr="00C464FE" w:rsidRDefault="00C464FE" w:rsidP="00E404DC">
            <w:pPr>
              <w:autoSpaceDE w:val="0"/>
              <w:autoSpaceDN w:val="0"/>
              <w:adjustRightInd w:val="0"/>
              <w:jc w:val="center"/>
              <w:rPr>
                <w:color w:val="000000"/>
              </w:rPr>
            </w:pPr>
            <w:r w:rsidRPr="00C464FE">
              <w:rPr>
                <w:color w:val="000000"/>
              </w:rPr>
              <w:t>3.1</w:t>
            </w:r>
          </w:p>
        </w:tc>
      </w:tr>
      <w:tr w:rsidR="00C464FE" w:rsidRPr="00C464FE" w:rsidTr="00E404DC">
        <w:trPr>
          <w:jc w:val="center"/>
        </w:trPr>
        <w:tc>
          <w:tcPr>
            <w:tcW w:w="4898" w:type="dxa"/>
            <w:gridSpan w:val="3"/>
            <w:tcBorders>
              <w:top w:val="single" w:sz="4" w:space="0" w:color="auto"/>
              <w:left w:val="nil"/>
              <w:bottom w:val="single" w:sz="4" w:space="0" w:color="auto"/>
              <w:right w:val="nil"/>
            </w:tcBorders>
          </w:tcPr>
          <w:p w:rsidR="00C464FE" w:rsidRPr="00C464FE" w:rsidRDefault="00C464FE" w:rsidP="00E404DC">
            <w:pPr>
              <w:autoSpaceDE w:val="0"/>
              <w:autoSpaceDN w:val="0"/>
              <w:adjustRightInd w:val="0"/>
              <w:jc w:val="center"/>
              <w:rPr>
                <w:i/>
                <w:color w:val="000000"/>
              </w:rPr>
            </w:pPr>
            <w:r w:rsidRPr="00C464FE">
              <w:rPr>
                <w:i/>
                <w:color w:val="000000"/>
              </w:rPr>
              <w:t>N</w:t>
            </w:r>
          </w:p>
        </w:tc>
        <w:tc>
          <w:tcPr>
            <w:tcW w:w="955" w:type="dxa"/>
            <w:tcBorders>
              <w:top w:val="single" w:sz="4" w:space="0" w:color="auto"/>
              <w:left w:val="nil"/>
              <w:bottom w:val="single" w:sz="4" w:space="0" w:color="auto"/>
              <w:right w:val="nil"/>
            </w:tcBorders>
            <w:vAlign w:val="center"/>
          </w:tcPr>
          <w:p w:rsidR="00C464FE" w:rsidRPr="00C464FE" w:rsidRDefault="00C464FE" w:rsidP="00E404DC">
            <w:pPr>
              <w:autoSpaceDE w:val="0"/>
              <w:autoSpaceDN w:val="0"/>
              <w:adjustRightInd w:val="0"/>
              <w:jc w:val="center"/>
              <w:rPr>
                <w:color w:val="000000"/>
              </w:rPr>
            </w:pPr>
            <w:r w:rsidRPr="00C464FE">
              <w:rPr>
                <w:color w:val="000000"/>
              </w:rPr>
              <w:t>1287</w:t>
            </w:r>
          </w:p>
        </w:tc>
        <w:tc>
          <w:tcPr>
            <w:tcW w:w="1440" w:type="dxa"/>
            <w:tcBorders>
              <w:top w:val="single" w:sz="4" w:space="0" w:color="auto"/>
              <w:left w:val="nil"/>
              <w:bottom w:val="single" w:sz="4" w:space="0" w:color="auto"/>
              <w:right w:val="nil"/>
            </w:tcBorders>
          </w:tcPr>
          <w:p w:rsidR="00C464FE" w:rsidRPr="00C464FE" w:rsidRDefault="00C464FE" w:rsidP="00E404DC">
            <w:pPr>
              <w:autoSpaceDE w:val="0"/>
              <w:autoSpaceDN w:val="0"/>
              <w:adjustRightInd w:val="0"/>
              <w:jc w:val="center"/>
              <w:rPr>
                <w:color w:val="000000"/>
              </w:rPr>
            </w:pPr>
            <w:r w:rsidRPr="00C464FE">
              <w:rPr>
                <w:color w:val="000000"/>
              </w:rPr>
              <w:t>100</w:t>
            </w:r>
          </w:p>
        </w:tc>
      </w:tr>
    </w:tbl>
    <w:p w:rsidR="00C464FE" w:rsidRPr="00C464FE" w:rsidRDefault="00C464FE" w:rsidP="00C464FE">
      <w:pPr>
        <w:jc w:val="both"/>
        <w:rPr>
          <w:b/>
        </w:rPr>
      </w:pPr>
    </w:p>
    <w:p w:rsidR="00C464FE" w:rsidRPr="00C464FE" w:rsidRDefault="00C464FE" w:rsidP="00C464FE">
      <w:pPr>
        <w:jc w:val="both"/>
        <w:rPr>
          <w:b/>
        </w:rPr>
      </w:pPr>
      <w:r w:rsidRPr="00C464FE">
        <w:rPr>
          <w:b/>
        </w:rPr>
        <w:t>3.2. Libro de códigos</w:t>
      </w:r>
    </w:p>
    <w:p w:rsidR="00C464FE" w:rsidRPr="00C464FE" w:rsidRDefault="00C464FE" w:rsidP="00C464FE"/>
    <w:p w:rsidR="00C464FE" w:rsidRPr="00C464FE" w:rsidRDefault="00C464FE" w:rsidP="00C464FE">
      <w:pPr>
        <w:ind w:firstLine="708"/>
        <w:jc w:val="both"/>
      </w:pPr>
      <w:r w:rsidRPr="00C464FE">
        <w:t>Para realizar la codificación de los artículos seleccionados, se elaboró un libro de códigos con las diferentes variables del estudio agrupadas en los siguientes apartados:</w:t>
      </w:r>
    </w:p>
    <w:p w:rsidR="00C464FE" w:rsidRPr="00C464FE" w:rsidRDefault="00C464FE" w:rsidP="00C464FE">
      <w:pPr>
        <w:rPr>
          <w:i/>
        </w:rPr>
      </w:pPr>
    </w:p>
    <w:p w:rsidR="00C464FE" w:rsidRPr="00C464FE" w:rsidRDefault="00C464FE" w:rsidP="00C464FE">
      <w:pPr>
        <w:ind w:firstLine="708"/>
        <w:jc w:val="both"/>
      </w:pPr>
      <w:r w:rsidRPr="00C464FE">
        <w:rPr>
          <w:i/>
        </w:rPr>
        <w:t>a) Datos de identificación generales:</w:t>
      </w:r>
      <w:r w:rsidRPr="00C464FE">
        <w:t xml:space="preserve"> Se codificó a qué periódico pertenecía cada nota, siendo la mayor parte de ellas localizadas en </w:t>
      </w:r>
      <w:proofErr w:type="spellStart"/>
      <w:r w:rsidRPr="00C464FE">
        <w:rPr>
          <w:i/>
        </w:rPr>
        <w:t>Excelsior</w:t>
      </w:r>
      <w:proofErr w:type="spellEnd"/>
      <w:r w:rsidRPr="00C464FE">
        <w:t xml:space="preserve"> (33.3%), seguido de </w:t>
      </w:r>
      <w:r w:rsidRPr="00C464FE">
        <w:rPr>
          <w:i/>
        </w:rPr>
        <w:t xml:space="preserve">Reforma </w:t>
      </w:r>
      <w:r w:rsidRPr="00C464FE">
        <w:t xml:space="preserve">(26.1%) y </w:t>
      </w:r>
      <w:r w:rsidRPr="00C464FE">
        <w:rPr>
          <w:i/>
        </w:rPr>
        <w:t xml:space="preserve">El Universal </w:t>
      </w:r>
      <w:r w:rsidRPr="00C464FE">
        <w:t xml:space="preserve">(16.4%). Por su parte, en </w:t>
      </w:r>
      <w:r w:rsidRPr="00C464FE">
        <w:rPr>
          <w:i/>
        </w:rPr>
        <w:t>La Jornada</w:t>
      </w:r>
      <w:r w:rsidRPr="00C464FE">
        <w:t xml:space="preserve"> se localizó un 13.9% de las notas informativas, ocupando el último lugar de la muestra el periódico </w:t>
      </w:r>
      <w:r w:rsidRPr="00C464FE">
        <w:rPr>
          <w:i/>
        </w:rPr>
        <w:t>Milenio</w:t>
      </w:r>
      <w:r w:rsidRPr="00C464FE">
        <w:t xml:space="preserve"> (10.3%). La mayor parte de las unidades analizadas correspondían a noticias (80.3%), seguidas de los reportajes (11.3%). En menor medida aparecieron breves, en un 7.4% de los casos, y entrevistas que únicamente supusieron el 1% de la muestra analizada. En su gran medida, las notas</w:t>
      </w:r>
      <w:r w:rsidR="00E404DC">
        <w:t xml:space="preserve"> </w:t>
      </w:r>
      <w:r w:rsidRPr="00C464FE">
        <w:t xml:space="preserve">aparecieron en la sección de política de los periódicos (47.0%) o de nacional (26.2%), repartiéndose las restantes entre secciones minoritarias. Finalmente, se analizó la fuente informativa principal de la </w:t>
      </w:r>
      <w:r w:rsidRPr="00C464FE">
        <w:lastRenderedPageBreak/>
        <w:t xml:space="preserve">nota, detectándose que en un gran porcentaje (75.1%) eran los propios candidatos quienes informaban sobre el acontecimiento narrado. Junto a ellos, aunque a mucha distancia, los representantes políticos e institucionales ocuparon un lugar importante (12.8%). Otros actores como miembros de la sociedad civil (4.6%) o empresarios y sindicalistas (0.8%) informaron en menor medida (Ver datos en Tabla 1). </w:t>
      </w:r>
    </w:p>
    <w:p w:rsidR="00C464FE" w:rsidRPr="00C464FE" w:rsidRDefault="00C464FE" w:rsidP="00C464FE">
      <w:pPr>
        <w:jc w:val="both"/>
      </w:pPr>
    </w:p>
    <w:p w:rsidR="00C464FE" w:rsidRPr="00C464FE" w:rsidRDefault="00C464FE" w:rsidP="00C464FE">
      <w:pPr>
        <w:ind w:firstLine="708"/>
        <w:jc w:val="both"/>
      </w:pPr>
      <w:r w:rsidRPr="00C464FE">
        <w:rPr>
          <w:i/>
        </w:rPr>
        <w:t xml:space="preserve">c) Enfoques temáticos de la política: </w:t>
      </w:r>
      <w:r w:rsidRPr="00C464FE">
        <w:t xml:space="preserve">Para analizar el tratamiento informativo que las notas informativas de la prensa digital ofrecieron a la campaña electoral mexicana de 2012, se elaboró una escala a partir de diferentes estudios previos. Así, se tomó la escala de cinco indicadores de las noticias estratégicas seleccionados por </w:t>
      </w:r>
      <w:proofErr w:type="spellStart"/>
      <w:r w:rsidRPr="00C464FE">
        <w:rPr>
          <w:lang w:val="es-MX"/>
        </w:rPr>
        <w:t>Elenbaas</w:t>
      </w:r>
      <w:proofErr w:type="spellEnd"/>
      <w:r w:rsidRPr="00C464FE">
        <w:rPr>
          <w:lang w:val="es-MX"/>
        </w:rPr>
        <w:t xml:space="preserve"> y de </w:t>
      </w:r>
      <w:proofErr w:type="spellStart"/>
      <w:r w:rsidRPr="00C464FE">
        <w:rPr>
          <w:lang w:val="es-MX"/>
        </w:rPr>
        <w:t>Vreese</w:t>
      </w:r>
      <w:proofErr w:type="spellEnd"/>
      <w:r w:rsidRPr="00C464FE">
        <w:rPr>
          <w:lang w:val="es-MX"/>
        </w:rPr>
        <w:t xml:space="preserve"> (2008) a su vez a partir del estudio de Cappella y </w:t>
      </w:r>
      <w:proofErr w:type="spellStart"/>
      <w:r w:rsidRPr="00C464FE">
        <w:rPr>
          <w:lang w:val="es-MX"/>
        </w:rPr>
        <w:t>Jamieson</w:t>
      </w:r>
      <w:proofErr w:type="spellEnd"/>
      <w:r w:rsidRPr="00C464FE">
        <w:rPr>
          <w:lang w:val="es-MX"/>
        </w:rPr>
        <w:t xml:space="preserve"> (1997). Asimismo, se elaboraron ciertos reactivos a partir de las aportaciones realizadas en su trabajo por</w:t>
      </w:r>
      <w:r w:rsidRPr="00C464FE">
        <w:t xml:space="preserve"> Kim (2009) acerca del tratamiento temático de la información política. Finalmente, se tomó como referencia los cuatro encuadres utilizados por </w:t>
      </w:r>
      <w:proofErr w:type="spellStart"/>
      <w:r w:rsidRPr="00C464FE">
        <w:t>Floss</w:t>
      </w:r>
      <w:proofErr w:type="spellEnd"/>
      <w:r w:rsidRPr="00C464FE">
        <w:t xml:space="preserve"> y </w:t>
      </w:r>
      <w:proofErr w:type="spellStart"/>
      <w:r w:rsidRPr="00C464FE">
        <w:t>Marcinkowski</w:t>
      </w:r>
      <w:proofErr w:type="spellEnd"/>
      <w:r w:rsidRPr="00C464FE">
        <w:t xml:space="preserve"> (2008) correspondientes al tratamiento temático y estratégico e la información. En total se utilizó una escala de 14 reactivos relacionados con la información de la campaña electoral, medidos con una escala dicotómica de 0 (no presencia) a 1 (presencia), a partir de los cuales se desarrollaron los dos indicadores de los encuadres de política. </w:t>
      </w:r>
    </w:p>
    <w:p w:rsidR="00C464FE" w:rsidRPr="00C464FE" w:rsidRDefault="00C464FE" w:rsidP="00C464FE">
      <w:pPr>
        <w:rPr>
          <w:b/>
        </w:rPr>
      </w:pPr>
    </w:p>
    <w:p w:rsidR="00C464FE" w:rsidRPr="00C464FE" w:rsidRDefault="00C464FE" w:rsidP="00C464FE">
      <w:pPr>
        <w:rPr>
          <w:b/>
        </w:rPr>
      </w:pPr>
      <w:r w:rsidRPr="00C464FE">
        <w:rPr>
          <w:b/>
        </w:rPr>
        <w:t>3.3. Codificación y fiabilidad del estudio</w:t>
      </w:r>
    </w:p>
    <w:p w:rsidR="00C464FE" w:rsidRPr="00C464FE" w:rsidRDefault="00C464FE" w:rsidP="00C464FE"/>
    <w:p w:rsidR="00C464FE" w:rsidRPr="00C464FE" w:rsidRDefault="00C464FE" w:rsidP="00C464FE">
      <w:pPr>
        <w:ind w:firstLine="708"/>
        <w:jc w:val="both"/>
      </w:pPr>
      <w:r w:rsidRPr="00C464FE">
        <w:t>En la codificación y grabación de las unidades de análisis procedentes de la muestra del estudio participaron varios estudiantes de licenciatura visitantes en la Facultad de Ciencias Políticas y Administración Pública de la Universidad Autónoma de Nuevo León, dentro del programa de verano científico DELFIN 2012</w:t>
      </w:r>
      <w:r w:rsidRPr="00C464FE">
        <w:rPr>
          <w:rStyle w:val="Refdenotaalpie"/>
        </w:rPr>
        <w:footnoteReference w:id="1"/>
      </w:r>
      <w:r w:rsidRPr="00C464FE">
        <w:t>. Para ello, previamente se les dio formación a través de un curso sobre análisis de contenido y se realizó una prueba piloto con algunas noticias sobre migración extraídas al azar de los periódicos analizados. Una vez concluida la codificación, se realizó un nuevo análisis sobre 378 notas (28.7%) seleccionadas al azar de entre las que componían la muestra total inicial con el objetivo de calcular la fiabilidad del proceso o acuerdo inter-jueces (</w:t>
      </w:r>
      <w:proofErr w:type="spellStart"/>
      <w:r w:rsidRPr="00C464FE">
        <w:rPr>
          <w:i/>
        </w:rPr>
        <w:t>intercoder</w:t>
      </w:r>
      <w:proofErr w:type="spellEnd"/>
      <w:r w:rsidRPr="00C464FE">
        <w:rPr>
          <w:i/>
        </w:rPr>
        <w:t xml:space="preserve"> </w:t>
      </w:r>
      <w:proofErr w:type="spellStart"/>
      <w:r w:rsidRPr="00C464FE">
        <w:rPr>
          <w:i/>
        </w:rPr>
        <w:t>reliability</w:t>
      </w:r>
      <w:proofErr w:type="spellEnd"/>
      <w:r w:rsidRPr="00C464FE">
        <w:t>). El valor medio siguiendo la fórmula de Pi de Scott fue del .99, lo que implica un alto nivel de acuerdo entre los codificadores. La fiabilidad más baja detectada fue de .85 relativa a la variable sobre la fuente informativa.</w:t>
      </w:r>
    </w:p>
    <w:p w:rsidR="00B9357D" w:rsidRPr="00A53087" w:rsidRDefault="00B9357D" w:rsidP="00384EB0">
      <w:pPr>
        <w:jc w:val="both"/>
        <w:rPr>
          <w:b/>
        </w:rPr>
      </w:pPr>
    </w:p>
    <w:p w:rsidR="008E3677" w:rsidRDefault="008E3677" w:rsidP="00384EB0">
      <w:pPr>
        <w:jc w:val="both"/>
        <w:rPr>
          <w:b/>
        </w:rPr>
      </w:pPr>
      <w:r w:rsidRPr="00A53087">
        <w:rPr>
          <w:b/>
        </w:rPr>
        <w:t>4. Análisis de los resultados</w:t>
      </w:r>
    </w:p>
    <w:p w:rsidR="00384EB0" w:rsidRDefault="00384EB0" w:rsidP="00384EB0">
      <w:pPr>
        <w:jc w:val="both"/>
        <w:rPr>
          <w:b/>
        </w:rPr>
      </w:pPr>
    </w:p>
    <w:p w:rsidR="00384EB0" w:rsidRPr="001C3314" w:rsidRDefault="00384EB0" w:rsidP="00384EB0">
      <w:pPr>
        <w:rPr>
          <w:b/>
        </w:rPr>
      </w:pPr>
      <w:r w:rsidRPr="001C3314">
        <w:rPr>
          <w:b/>
        </w:rPr>
        <w:t>4.1. Análisis de los encuadres noticiosos sobre política</w:t>
      </w:r>
    </w:p>
    <w:p w:rsidR="00384EB0" w:rsidRPr="001C3314" w:rsidRDefault="00384EB0" w:rsidP="00384EB0">
      <w:pPr>
        <w:ind w:right="44"/>
        <w:rPr>
          <w:lang w:eastAsia="es-MX"/>
        </w:rPr>
      </w:pPr>
    </w:p>
    <w:p w:rsidR="00384EB0" w:rsidRPr="001C3314" w:rsidRDefault="00384EB0" w:rsidP="00384EB0">
      <w:pPr>
        <w:ind w:right="44" w:firstLine="708"/>
        <w:jc w:val="both"/>
        <w:rPr>
          <w:lang w:eastAsia="es-MX"/>
        </w:rPr>
      </w:pPr>
      <w:r w:rsidRPr="001C3314">
        <w:rPr>
          <w:lang w:eastAsia="es-MX"/>
        </w:rPr>
        <w:t xml:space="preserve">Con el objetivo de detectar los posibles encuadres noticiosos sobre política presentes en la prensa digital mexicana durante la campaña electoral analizada, se trabajó con el conjunto de ítems revisados de estudios posteriores (Ver reactivos en la Tabla 2). Debido a que el estudio tenía un componente exploratorio, pues era la primera vez que se aplicaban estos reactivos para generar una escala de encuadres noticiosos de este tipo en México, se decidió partir de una estructura de agrupación de los encuadres de forma teórica mediante un acercamiento deductivo. Ello permitió agrupar los reactivos conforme a la literatura científica para desarrollar </w:t>
      </w:r>
      <w:r w:rsidRPr="001C3314">
        <w:rPr>
          <w:lang w:eastAsia="es-MX"/>
        </w:rPr>
        <w:lastRenderedPageBreak/>
        <w:t xml:space="preserve">instrumentos que permitieran evaluar con confianza la cobertura informativa a la campaña electoral narrada en las notas digitales estudiadas. </w:t>
      </w:r>
    </w:p>
    <w:p w:rsidR="00384EB0" w:rsidRPr="001C3314" w:rsidRDefault="00384EB0" w:rsidP="00384EB0">
      <w:pPr>
        <w:ind w:right="44"/>
        <w:jc w:val="both"/>
        <w:rPr>
          <w:lang w:eastAsia="es-MX"/>
        </w:rPr>
      </w:pPr>
    </w:p>
    <w:p w:rsidR="00384EB0" w:rsidRPr="001C3314" w:rsidRDefault="00384EB0" w:rsidP="00384EB0">
      <w:pPr>
        <w:autoSpaceDE w:val="0"/>
        <w:jc w:val="both"/>
        <w:rPr>
          <w:b/>
        </w:rPr>
      </w:pPr>
      <w:r w:rsidRPr="001C3314">
        <w:rPr>
          <w:b/>
        </w:rPr>
        <w:t xml:space="preserve">Tabla 2. </w:t>
      </w:r>
      <w:r w:rsidRPr="00384EB0">
        <w:t xml:space="preserve">Reactivos utilizadas para generar los encuadres noticiosos sobre política y estadísticos descriptivos </w:t>
      </w:r>
      <w:proofErr w:type="spellStart"/>
      <w:r w:rsidRPr="00384EB0">
        <w:t>univariados</w:t>
      </w:r>
      <w:proofErr w:type="spellEnd"/>
    </w:p>
    <w:tbl>
      <w:tblPr>
        <w:tblW w:w="8692" w:type="dxa"/>
        <w:jc w:val="center"/>
        <w:tblInd w:w="-4174" w:type="dxa"/>
        <w:tblBorders>
          <w:top w:val="single" w:sz="4" w:space="0" w:color="auto"/>
          <w:bottom w:val="single" w:sz="4" w:space="0" w:color="auto"/>
        </w:tblBorders>
        <w:tblLayout w:type="fixed"/>
        <w:tblCellMar>
          <w:left w:w="0" w:type="dxa"/>
          <w:right w:w="0" w:type="dxa"/>
        </w:tblCellMar>
        <w:tblLook w:val="0000"/>
      </w:tblPr>
      <w:tblGrid>
        <w:gridCol w:w="6826"/>
        <w:gridCol w:w="933"/>
        <w:gridCol w:w="933"/>
      </w:tblGrid>
      <w:tr w:rsidR="00384EB0" w:rsidRPr="001C3314" w:rsidTr="00E404DC">
        <w:tblPrEx>
          <w:tblCellMar>
            <w:top w:w="0" w:type="dxa"/>
            <w:bottom w:w="0" w:type="dxa"/>
          </w:tblCellMar>
        </w:tblPrEx>
        <w:trPr>
          <w:cantSplit/>
          <w:trHeight w:val="609"/>
          <w:jc w:val="center"/>
        </w:trPr>
        <w:tc>
          <w:tcPr>
            <w:tcW w:w="6826" w:type="dxa"/>
            <w:tcBorders>
              <w:top w:val="single" w:sz="4" w:space="0" w:color="auto"/>
              <w:bottom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Reactivos utilizados</w:t>
            </w:r>
          </w:p>
        </w:tc>
        <w:tc>
          <w:tcPr>
            <w:tcW w:w="933" w:type="dxa"/>
            <w:vMerge w:val="restart"/>
            <w:tcBorders>
              <w:top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i/>
                <w:color w:val="000000"/>
                <w:sz w:val="22"/>
                <w:szCs w:val="22"/>
              </w:rPr>
            </w:pPr>
            <w:r w:rsidRPr="001C3314">
              <w:rPr>
                <w:i/>
                <w:color w:val="000000"/>
                <w:sz w:val="22"/>
                <w:szCs w:val="22"/>
              </w:rPr>
              <w:t>M</w:t>
            </w:r>
          </w:p>
        </w:tc>
        <w:tc>
          <w:tcPr>
            <w:tcW w:w="933" w:type="dxa"/>
            <w:vMerge w:val="restart"/>
            <w:tcBorders>
              <w:top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i/>
                <w:color w:val="000000"/>
                <w:sz w:val="22"/>
                <w:szCs w:val="22"/>
              </w:rPr>
            </w:pPr>
            <w:r w:rsidRPr="001C3314">
              <w:rPr>
                <w:i/>
                <w:color w:val="000000"/>
                <w:sz w:val="22"/>
                <w:szCs w:val="22"/>
              </w:rPr>
              <w:t>DE</w:t>
            </w:r>
          </w:p>
        </w:tc>
      </w:tr>
      <w:tr w:rsidR="00384EB0" w:rsidRPr="001C3314" w:rsidTr="00E404DC">
        <w:tblPrEx>
          <w:tblCellMar>
            <w:top w:w="0" w:type="dxa"/>
            <w:bottom w:w="0" w:type="dxa"/>
          </w:tblCellMar>
        </w:tblPrEx>
        <w:trPr>
          <w:cantSplit/>
          <w:trHeight w:val="609"/>
          <w:jc w:val="center"/>
        </w:trPr>
        <w:tc>
          <w:tcPr>
            <w:tcW w:w="6826" w:type="dxa"/>
            <w:tcBorders>
              <w:top w:val="single" w:sz="4" w:space="0" w:color="auto"/>
            </w:tcBorders>
            <w:shd w:val="clear" w:color="auto" w:fill="FFFFFF"/>
            <w:vAlign w:val="center"/>
          </w:tcPr>
          <w:p w:rsidR="00384EB0" w:rsidRPr="001C3314" w:rsidRDefault="00384EB0" w:rsidP="00384EB0">
            <w:pPr>
              <w:pStyle w:val="Prrafodelista"/>
              <w:autoSpaceDE w:val="0"/>
              <w:autoSpaceDN w:val="0"/>
              <w:adjustRightInd w:val="0"/>
              <w:ind w:left="0" w:right="60"/>
              <w:rPr>
                <w:color w:val="000000"/>
              </w:rPr>
            </w:pPr>
            <w:r w:rsidRPr="001C3314">
              <w:rPr>
                <w:color w:val="000000"/>
              </w:rPr>
              <w:t>Encuadre estratégico</w:t>
            </w:r>
          </w:p>
        </w:tc>
        <w:tc>
          <w:tcPr>
            <w:tcW w:w="933" w:type="dxa"/>
            <w:vMerge/>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p>
        </w:tc>
        <w:tc>
          <w:tcPr>
            <w:tcW w:w="933" w:type="dxa"/>
            <w:vMerge/>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p>
        </w:tc>
      </w:tr>
      <w:tr w:rsidR="00384EB0" w:rsidRPr="001C3314" w:rsidTr="00E404DC">
        <w:tblPrEx>
          <w:tblCellMar>
            <w:top w:w="0" w:type="dxa"/>
            <w:bottom w:w="0" w:type="dxa"/>
          </w:tblCellMar>
        </w:tblPrEx>
        <w:trPr>
          <w:cantSplit/>
          <w:trHeight w:val="609"/>
          <w:jc w:val="center"/>
        </w:trPr>
        <w:tc>
          <w:tcPr>
            <w:tcW w:w="6826" w:type="dxa"/>
            <w:tcBorders>
              <w:top w:val="single" w:sz="4" w:space="0" w:color="auto"/>
            </w:tcBorders>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se centra en la campaña realizada por los actores políticos o en el estilo y presentación de los políticos</w:t>
            </w:r>
          </w:p>
        </w:tc>
        <w:tc>
          <w:tcPr>
            <w:tcW w:w="933" w:type="dxa"/>
            <w:tcBorders>
              <w:top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.82</w:t>
            </w:r>
          </w:p>
        </w:tc>
        <w:tc>
          <w:tcPr>
            <w:tcW w:w="933" w:type="dxa"/>
            <w:tcBorders>
              <w:top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.38</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analiza las acciones de los políticos para mejorar o consolidar sus posiciones</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.58</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.49</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utiliza un lenguaje de metáforas generalmente asociadas con el deporte, la competición, la competencia, los juegos o incluso la guerra.</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.50</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.50</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enfatiza los datos de datos de opinión, las encuestas y/o la posición de la opinión pública.</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.21</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.41</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En el relato se etiqueta a los políticos como ganadores y/o perdedores.</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.23</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.42</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texto de la noticia atribuye actividades y logros a actores individuales</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.49</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.50</w:t>
            </w:r>
          </w:p>
        </w:tc>
      </w:tr>
      <w:tr w:rsidR="00384EB0" w:rsidRPr="001C3314" w:rsidTr="00E404DC">
        <w:tblPrEx>
          <w:tblCellMar>
            <w:top w:w="0" w:type="dxa"/>
            <w:bottom w:w="0" w:type="dxa"/>
          </w:tblCellMar>
        </w:tblPrEx>
        <w:trPr>
          <w:cantSplit/>
          <w:trHeight w:val="609"/>
          <w:jc w:val="center"/>
        </w:trPr>
        <w:tc>
          <w:tcPr>
            <w:tcW w:w="6826" w:type="dxa"/>
            <w:tcBorders>
              <w:bottom w:val="single" w:sz="4" w:space="0" w:color="auto"/>
            </w:tcBorders>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En el relato se alude a cierto desacuerdo entre partidos políticos, individuos, grupos, instituciones, etc.</w:t>
            </w:r>
          </w:p>
        </w:tc>
        <w:tc>
          <w:tcPr>
            <w:tcW w:w="933" w:type="dxa"/>
            <w:tcBorders>
              <w:bottom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.23</w:t>
            </w:r>
          </w:p>
        </w:tc>
        <w:tc>
          <w:tcPr>
            <w:tcW w:w="933" w:type="dxa"/>
            <w:tcBorders>
              <w:bottom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.42</w:t>
            </w:r>
          </w:p>
        </w:tc>
      </w:tr>
      <w:tr w:rsidR="00384EB0" w:rsidRPr="001C3314" w:rsidTr="00E404DC">
        <w:tblPrEx>
          <w:tblCellMar>
            <w:top w:w="0" w:type="dxa"/>
            <w:bottom w:w="0" w:type="dxa"/>
          </w:tblCellMar>
        </w:tblPrEx>
        <w:trPr>
          <w:cantSplit/>
          <w:trHeight w:val="609"/>
          <w:jc w:val="center"/>
        </w:trPr>
        <w:tc>
          <w:tcPr>
            <w:tcW w:w="6826" w:type="dxa"/>
            <w:tcBorders>
              <w:top w:val="single" w:sz="4" w:space="0" w:color="auto"/>
              <w:bottom w:val="single" w:sz="4" w:space="0" w:color="auto"/>
            </w:tcBorders>
            <w:shd w:val="clear" w:color="auto" w:fill="FFFFFF"/>
            <w:vAlign w:val="center"/>
          </w:tcPr>
          <w:p w:rsidR="00384EB0" w:rsidRPr="001C3314" w:rsidRDefault="00384EB0" w:rsidP="00384EB0">
            <w:pPr>
              <w:pStyle w:val="Prrafodelista"/>
              <w:autoSpaceDE w:val="0"/>
              <w:autoSpaceDN w:val="0"/>
              <w:adjustRightInd w:val="0"/>
              <w:ind w:left="0" w:right="60"/>
              <w:rPr>
                <w:color w:val="000000"/>
              </w:rPr>
            </w:pPr>
            <w:r w:rsidRPr="001C3314">
              <w:rPr>
                <w:color w:val="000000"/>
              </w:rPr>
              <w:t>Encuadre temático</w:t>
            </w:r>
          </w:p>
        </w:tc>
        <w:tc>
          <w:tcPr>
            <w:tcW w:w="933" w:type="dxa"/>
            <w:tcBorders>
              <w:top w:val="single" w:sz="4" w:space="0" w:color="auto"/>
              <w:bottom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p>
        </w:tc>
        <w:tc>
          <w:tcPr>
            <w:tcW w:w="933" w:type="dxa"/>
            <w:tcBorders>
              <w:top w:val="single" w:sz="4" w:space="0" w:color="auto"/>
              <w:bottom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p>
        </w:tc>
      </w:tr>
      <w:tr w:rsidR="00384EB0" w:rsidRPr="001C3314" w:rsidTr="00E404DC">
        <w:tblPrEx>
          <w:tblCellMar>
            <w:top w:w="0" w:type="dxa"/>
            <w:bottom w:w="0" w:type="dxa"/>
          </w:tblCellMar>
        </w:tblPrEx>
        <w:trPr>
          <w:cantSplit/>
          <w:trHeight w:val="609"/>
          <w:jc w:val="center"/>
        </w:trPr>
        <w:tc>
          <w:tcPr>
            <w:tcW w:w="6826" w:type="dxa"/>
            <w:tcBorders>
              <w:top w:val="single" w:sz="4" w:space="0" w:color="auto"/>
            </w:tcBorders>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aborda problemas y soluciones sobre ciertas políticas públicas, la legislación existente, de las propuestas legislativas, etc.</w:t>
            </w:r>
          </w:p>
        </w:tc>
        <w:tc>
          <w:tcPr>
            <w:tcW w:w="933" w:type="dxa"/>
            <w:tcBorders>
              <w:top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.41</w:t>
            </w:r>
          </w:p>
        </w:tc>
        <w:tc>
          <w:tcPr>
            <w:tcW w:w="933" w:type="dxa"/>
            <w:tcBorders>
              <w:top w:val="single" w:sz="4" w:space="0" w:color="auto"/>
            </w:tcBorders>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.49</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explica las propuestas de los políticos acerca de un asunto particular, enfatizando su posición ante las mismas.</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.31</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.46</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explica cómo un tema o una política específicos están relacionadas con los funcionarios públicos, cómo les afectan.</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.13</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.33</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relato explica las implicaciones o impactos que una legislación, propuesta legislativa, etc. tiene para las personas.</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.14</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.35</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texto enfatiza el debate entre actores políticos acerca de un tema o asunto concreto.</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.08</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.27</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texto de la noticia presenta decisiones políticas como logros para el conjunto de la sociedad o se refiere al papel de las acciones colectivas</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.26</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.44</w:t>
            </w:r>
          </w:p>
        </w:tc>
      </w:tr>
      <w:tr w:rsidR="00384EB0" w:rsidRPr="001C3314" w:rsidTr="00E404DC">
        <w:tblPrEx>
          <w:tblCellMar>
            <w:top w:w="0" w:type="dxa"/>
            <w:bottom w:w="0" w:type="dxa"/>
          </w:tblCellMar>
        </w:tblPrEx>
        <w:trPr>
          <w:cantSplit/>
          <w:trHeight w:val="609"/>
          <w:jc w:val="center"/>
        </w:trPr>
        <w:tc>
          <w:tcPr>
            <w:tcW w:w="6826" w:type="dxa"/>
            <w:shd w:val="clear" w:color="auto" w:fill="FFFFFF"/>
            <w:vAlign w:val="center"/>
          </w:tcPr>
          <w:p w:rsidR="00384EB0" w:rsidRPr="001C3314" w:rsidRDefault="00384EB0" w:rsidP="00384EB0">
            <w:pPr>
              <w:pStyle w:val="Prrafodelista"/>
              <w:autoSpaceDE w:val="0"/>
              <w:autoSpaceDN w:val="0"/>
              <w:adjustRightInd w:val="0"/>
              <w:ind w:left="279" w:right="60"/>
              <w:rPr>
                <w:color w:val="000000"/>
              </w:rPr>
            </w:pPr>
            <w:r w:rsidRPr="001C3314">
              <w:rPr>
                <w:color w:val="000000"/>
              </w:rPr>
              <w:t>El texto de la noticia presenta la toma de decisiones políticas como un acuerdo entre actores, como escucharse mutuamente, como comprensión mutua, etc.</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.17</w:t>
            </w:r>
          </w:p>
        </w:tc>
        <w:tc>
          <w:tcPr>
            <w:tcW w:w="933" w:type="dxa"/>
            <w:shd w:val="clear" w:color="auto" w:fill="FFFFFF"/>
            <w:vAlign w:val="center"/>
          </w:tcPr>
          <w:p w:rsidR="00384EB0" w:rsidRPr="001C3314" w:rsidRDefault="00384EB0" w:rsidP="00384EB0">
            <w:pPr>
              <w:autoSpaceDE w:val="0"/>
              <w:autoSpaceDN w:val="0"/>
              <w:adjustRightInd w:val="0"/>
              <w:ind w:left="60" w:right="60"/>
              <w:jc w:val="center"/>
              <w:rPr>
                <w:color w:val="000000"/>
                <w:sz w:val="22"/>
                <w:szCs w:val="22"/>
              </w:rPr>
            </w:pPr>
            <w:r w:rsidRPr="001C3314">
              <w:rPr>
                <w:color w:val="000000"/>
                <w:sz w:val="22"/>
                <w:szCs w:val="22"/>
              </w:rPr>
              <w:t>.38</w:t>
            </w:r>
          </w:p>
        </w:tc>
      </w:tr>
    </w:tbl>
    <w:p w:rsidR="00384EB0" w:rsidRPr="001C3314" w:rsidRDefault="00384EB0" w:rsidP="00384EB0">
      <w:pPr>
        <w:autoSpaceDE w:val="0"/>
        <w:jc w:val="both"/>
        <w:rPr>
          <w:sz w:val="20"/>
          <w:szCs w:val="20"/>
        </w:rPr>
      </w:pPr>
      <w:r w:rsidRPr="001C3314">
        <w:rPr>
          <w:i/>
          <w:sz w:val="20"/>
          <w:szCs w:val="20"/>
        </w:rPr>
        <w:t>Nota:</w:t>
      </w:r>
      <w:r w:rsidRPr="001C3314">
        <w:rPr>
          <w:sz w:val="20"/>
          <w:szCs w:val="20"/>
        </w:rPr>
        <w:t xml:space="preserve"> </w:t>
      </w:r>
      <w:r w:rsidRPr="001C3314">
        <w:rPr>
          <w:i/>
          <w:sz w:val="20"/>
          <w:szCs w:val="20"/>
        </w:rPr>
        <w:t>N</w:t>
      </w:r>
      <w:r w:rsidRPr="001C3314">
        <w:rPr>
          <w:sz w:val="20"/>
          <w:szCs w:val="20"/>
        </w:rPr>
        <w:t xml:space="preserve"> = 1317. Todos los ítems tenían un rango de variación de 0 (No presente) a 1 (presente).</w:t>
      </w:r>
    </w:p>
    <w:p w:rsidR="00384EB0" w:rsidRPr="001C3314" w:rsidRDefault="00384EB0" w:rsidP="00384EB0">
      <w:pPr>
        <w:ind w:right="44"/>
        <w:jc w:val="both"/>
        <w:rPr>
          <w:lang w:eastAsia="es-MX"/>
        </w:rPr>
      </w:pPr>
    </w:p>
    <w:p w:rsidR="00384EB0" w:rsidRPr="001C3314" w:rsidRDefault="00384EB0" w:rsidP="00384EB0">
      <w:pPr>
        <w:ind w:right="44"/>
        <w:jc w:val="both"/>
      </w:pPr>
      <w:r>
        <w:rPr>
          <w:noProof/>
          <w:lang w:val="es-MX" w:eastAsia="es-MX"/>
        </w:rPr>
        <w:lastRenderedPageBreak/>
        <w:drawing>
          <wp:inline distT="0" distB="0" distL="0" distR="0">
            <wp:extent cx="5567045" cy="289687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5567045" cy="2896870"/>
                    </a:xfrm>
                    <a:prstGeom prst="rect">
                      <a:avLst/>
                    </a:prstGeom>
                    <a:noFill/>
                    <a:ln w="9525">
                      <a:noFill/>
                      <a:miter lim="800000"/>
                      <a:headEnd/>
                      <a:tailEnd/>
                    </a:ln>
                  </pic:spPr>
                </pic:pic>
              </a:graphicData>
            </a:graphic>
          </wp:inline>
        </w:drawing>
      </w:r>
    </w:p>
    <w:p w:rsidR="00384EB0" w:rsidRPr="00384EB0" w:rsidRDefault="00384EB0" w:rsidP="00384EB0">
      <w:pPr>
        <w:ind w:right="44"/>
      </w:pPr>
      <w:r w:rsidRPr="001C3314">
        <w:rPr>
          <w:b/>
        </w:rPr>
        <w:t xml:space="preserve">Figura 1. </w:t>
      </w:r>
      <w:r w:rsidRPr="00384EB0">
        <w:t>Evolución de la presencia de los encuadres durante la campaña electoral</w:t>
      </w:r>
    </w:p>
    <w:p w:rsidR="008E3677" w:rsidRPr="00A53087" w:rsidRDefault="008E3677" w:rsidP="00384EB0">
      <w:pPr>
        <w:jc w:val="both"/>
      </w:pPr>
    </w:p>
    <w:p w:rsidR="00384EB0" w:rsidRPr="00384EB0" w:rsidRDefault="00384EB0" w:rsidP="00384EB0">
      <w:pPr>
        <w:ind w:right="44" w:firstLine="708"/>
        <w:jc w:val="both"/>
      </w:pPr>
      <w:r w:rsidRPr="001C3314">
        <w:rPr>
          <w:lang w:eastAsia="es-MX"/>
        </w:rPr>
        <w:t xml:space="preserve">Con respecto al encuadre estratégico, la prueba de fiabilidad realizada arrojó una baja fiabilidad (α = .50). Por su parte, el encuadre temático de la información política aportó mayor </w:t>
      </w:r>
      <w:proofErr w:type="spellStart"/>
      <w:r w:rsidRPr="001C3314">
        <w:rPr>
          <w:lang w:eastAsia="es-MX"/>
        </w:rPr>
        <w:t>unidimensionalidad</w:t>
      </w:r>
      <w:proofErr w:type="spellEnd"/>
      <w:r w:rsidRPr="001C3314">
        <w:rPr>
          <w:lang w:eastAsia="es-MX"/>
        </w:rPr>
        <w:t xml:space="preserve"> (α = .62), si bien con un valor en todo caso inferior al límite que tradicionalmente se asume de .70 (</w:t>
      </w:r>
      <w:proofErr w:type="spellStart"/>
      <w:r w:rsidRPr="001C3314">
        <w:rPr>
          <w:lang w:eastAsia="es-MX"/>
        </w:rPr>
        <w:t>Krippendorf</w:t>
      </w:r>
      <w:proofErr w:type="spellEnd"/>
      <w:r w:rsidRPr="001C3314">
        <w:rPr>
          <w:lang w:eastAsia="es-MX"/>
        </w:rPr>
        <w:t xml:space="preserve">, </w:t>
      </w:r>
      <w:r w:rsidR="00BE4310">
        <w:rPr>
          <w:lang w:eastAsia="es-MX"/>
        </w:rPr>
        <w:t>1990</w:t>
      </w:r>
      <w:r w:rsidRPr="001C3314">
        <w:rPr>
          <w:lang w:eastAsia="es-MX"/>
        </w:rPr>
        <w:t xml:space="preserve">). Ello evidencia la necesidad de trabajar más los citados encuadres a fin de construir una </w:t>
      </w:r>
      <w:r w:rsidRPr="001C3314">
        <w:t>escala que evalúe de forma más efectiva la cobertura política en las noticias. El encuadre estratégico tenía una presencia promedio de .44 (</w:t>
      </w:r>
      <w:r w:rsidRPr="001C3314">
        <w:rPr>
          <w:i/>
        </w:rPr>
        <w:t>DE</w:t>
      </w:r>
      <w:r w:rsidRPr="001C3314">
        <w:t xml:space="preserve"> = .22) mientras que el encuadre temático apareció con un promedio de .22 (</w:t>
      </w:r>
      <w:r w:rsidRPr="001C3314">
        <w:rPr>
          <w:i/>
        </w:rPr>
        <w:t>DE</w:t>
      </w:r>
      <w:r w:rsidRPr="001C3314">
        <w:t xml:space="preserve"> = .22). Esta presencia mayor del encuadre estratégico durante la cobertura informativa dada a la campaña electoral por los diarios analizados, frente al uso del encuadre temático, fue estadísticamente significativa y fuerte atendiendo a la prueba de tamaño del efecto, </w:t>
      </w:r>
      <w:r w:rsidRPr="001C3314">
        <w:rPr>
          <w:i/>
        </w:rPr>
        <w:t>t</w:t>
      </w:r>
      <w:r w:rsidRPr="001C3314">
        <w:t xml:space="preserve">(1286) = 32.959, </w:t>
      </w:r>
      <w:r w:rsidRPr="001C3314">
        <w:rPr>
          <w:i/>
        </w:rPr>
        <w:t>p</w:t>
      </w:r>
      <w:r w:rsidRPr="001C3314">
        <w:t xml:space="preserve"> = .001, </w:t>
      </w:r>
      <w:r w:rsidRPr="001C3314">
        <w:rPr>
          <w:i/>
        </w:rPr>
        <w:t>d</w:t>
      </w:r>
      <w:r w:rsidRPr="001C3314">
        <w:t xml:space="preserve"> = .99. Además, se detectó que la presencia predominante del encuadre estratégico se mantuvo durante toda la campaña electoral, como se puede observar en la representación gráfica de ambos encuadres a partir de la</w:t>
      </w:r>
      <w:r w:rsidRPr="00384EB0">
        <w:t>s fechas analizadas de la campaña (Ver Figura 1).</w:t>
      </w:r>
    </w:p>
    <w:p w:rsidR="00384EB0" w:rsidRPr="00384EB0" w:rsidRDefault="00384EB0" w:rsidP="00384EB0">
      <w:pPr>
        <w:rPr>
          <w:b/>
        </w:rPr>
      </w:pPr>
    </w:p>
    <w:p w:rsidR="00384EB0" w:rsidRPr="00384EB0" w:rsidRDefault="00384EB0" w:rsidP="00384EB0">
      <w:pPr>
        <w:rPr>
          <w:b/>
        </w:rPr>
      </w:pPr>
      <w:r w:rsidRPr="00384EB0">
        <w:rPr>
          <w:b/>
        </w:rPr>
        <w:t>4.2. Diferencias en el uso de los encuadres noticiosos sobre política</w:t>
      </w:r>
    </w:p>
    <w:p w:rsidR="00384EB0" w:rsidRPr="00384EB0" w:rsidRDefault="00384EB0" w:rsidP="00384EB0">
      <w:pPr>
        <w:autoSpaceDE w:val="0"/>
        <w:autoSpaceDN w:val="0"/>
        <w:adjustRightInd w:val="0"/>
        <w:rPr>
          <w:lang w:val="es-MX" w:eastAsia="es-MX"/>
        </w:rPr>
      </w:pPr>
    </w:p>
    <w:p w:rsidR="00384EB0" w:rsidRPr="00384EB0" w:rsidRDefault="00384EB0" w:rsidP="00384EB0">
      <w:pPr>
        <w:ind w:right="44" w:firstLine="708"/>
        <w:jc w:val="both"/>
        <w:rPr>
          <w:lang w:val="es-MX"/>
        </w:rPr>
      </w:pPr>
      <w:r w:rsidRPr="00384EB0">
        <w:rPr>
          <w:lang w:val="es-MX"/>
        </w:rPr>
        <w:t xml:space="preserve">En una segunda fase del estudio se evaluó la presencia de los encuadres noticiosos en las notas informativas atendiendo a diferentes variables de agrupación. En este sentido, en primer lugar se analizaron las diferencias existentes entre el tratamiento informativo de la política realizado por los diferentes periódicos digitales estudiados. Los análisis arrojaron diferencias estadísticamente significativas para ambos encuadres (Ver datos en la Tabla </w:t>
      </w:r>
      <w:r w:rsidR="00E404DC">
        <w:rPr>
          <w:lang w:val="es-MX"/>
        </w:rPr>
        <w:t>3</w:t>
      </w:r>
      <w:r w:rsidRPr="00384EB0">
        <w:rPr>
          <w:lang w:val="es-MX"/>
        </w:rPr>
        <w:t xml:space="preserve">). Con respecto al uso del encuadre estratégico, la prueba </w:t>
      </w:r>
      <w:r w:rsidRPr="00384EB0">
        <w:rPr>
          <w:i/>
          <w:lang w:val="es-MX"/>
        </w:rPr>
        <w:t>post-hoc</w:t>
      </w:r>
      <w:r w:rsidRPr="00384EB0">
        <w:rPr>
          <w:lang w:val="es-MX"/>
        </w:rPr>
        <w:t xml:space="preserve"> HD </w:t>
      </w:r>
      <w:proofErr w:type="spellStart"/>
      <w:r w:rsidRPr="00384EB0">
        <w:rPr>
          <w:lang w:val="es-MX"/>
        </w:rPr>
        <w:t>Tukey</w:t>
      </w:r>
      <w:proofErr w:type="spellEnd"/>
      <w:r w:rsidRPr="00384EB0">
        <w:rPr>
          <w:lang w:val="es-MX"/>
        </w:rPr>
        <w:t xml:space="preserve"> realizada arrojó diferencias estadísticamente significativas, </w:t>
      </w:r>
      <w:r w:rsidRPr="00384EB0">
        <w:rPr>
          <w:i/>
          <w:lang w:val="es-MX"/>
        </w:rPr>
        <w:t>F</w:t>
      </w:r>
      <w:r w:rsidRPr="00384EB0">
        <w:rPr>
          <w:lang w:val="es-MX"/>
        </w:rPr>
        <w:t xml:space="preserve">(4, 486) = 94.876, </w:t>
      </w:r>
      <w:r w:rsidRPr="00384EB0">
        <w:rPr>
          <w:i/>
          <w:lang w:val="es-MX"/>
        </w:rPr>
        <w:t>p</w:t>
      </w:r>
      <w:r w:rsidRPr="00384EB0">
        <w:rPr>
          <w:lang w:val="es-MX"/>
        </w:rPr>
        <w:t xml:space="preserve"> &lt; .001</w:t>
      </w:r>
      <w:r w:rsidR="006637A7">
        <w:t>, η</w:t>
      </w:r>
      <w:r w:rsidR="006637A7" w:rsidRPr="00FC7139">
        <w:rPr>
          <w:vertAlign w:val="superscript"/>
        </w:rPr>
        <w:t>2</w:t>
      </w:r>
      <w:r w:rsidR="006637A7">
        <w:t xml:space="preserve"> = .223</w:t>
      </w:r>
      <w:r w:rsidRPr="00384EB0">
        <w:rPr>
          <w:lang w:val="es-MX"/>
        </w:rPr>
        <w:t xml:space="preserve">, entre todos los periódicos. Así, </w:t>
      </w:r>
      <w:r w:rsidRPr="00384EB0">
        <w:rPr>
          <w:i/>
          <w:lang w:val="es-MX"/>
        </w:rPr>
        <w:t>Milenio</w:t>
      </w:r>
      <w:r w:rsidRPr="00384EB0">
        <w:rPr>
          <w:lang w:val="es-MX"/>
        </w:rPr>
        <w:t xml:space="preserve"> fue el que en mayor medida utilizó este tratamiento informativo en sus notas (</w:t>
      </w:r>
      <w:r w:rsidRPr="00384EB0">
        <w:rPr>
          <w:i/>
          <w:lang w:val="es-MX"/>
        </w:rPr>
        <w:t>M</w:t>
      </w:r>
      <w:r w:rsidRPr="00384EB0">
        <w:rPr>
          <w:lang w:val="es-MX"/>
        </w:rPr>
        <w:t xml:space="preserve"> = </w:t>
      </w:r>
      <w:r w:rsidRPr="00384EB0">
        <w:rPr>
          <w:color w:val="000000"/>
        </w:rPr>
        <w:t xml:space="preserve">.65, </w:t>
      </w:r>
      <w:r w:rsidRPr="00384EB0">
        <w:rPr>
          <w:i/>
          <w:color w:val="000000"/>
        </w:rPr>
        <w:t>DE</w:t>
      </w:r>
      <w:r w:rsidRPr="00384EB0">
        <w:rPr>
          <w:color w:val="000000"/>
        </w:rPr>
        <w:t xml:space="preserve"> = .21), seguido de </w:t>
      </w:r>
      <w:r w:rsidRPr="00384EB0">
        <w:rPr>
          <w:i/>
          <w:color w:val="000000"/>
        </w:rPr>
        <w:t>La Jornada</w:t>
      </w:r>
      <w:r w:rsidRPr="00384EB0">
        <w:rPr>
          <w:color w:val="000000"/>
        </w:rPr>
        <w:t xml:space="preserve"> (</w:t>
      </w:r>
      <w:r w:rsidRPr="00384EB0">
        <w:rPr>
          <w:i/>
          <w:lang w:val="es-MX"/>
        </w:rPr>
        <w:t>M</w:t>
      </w:r>
      <w:r w:rsidRPr="00384EB0">
        <w:rPr>
          <w:lang w:val="es-MX"/>
        </w:rPr>
        <w:t xml:space="preserve"> = </w:t>
      </w:r>
      <w:r w:rsidRPr="00384EB0">
        <w:rPr>
          <w:color w:val="000000"/>
        </w:rPr>
        <w:t xml:space="preserve">.58, </w:t>
      </w:r>
      <w:r w:rsidRPr="00384EB0">
        <w:rPr>
          <w:i/>
          <w:color w:val="000000"/>
        </w:rPr>
        <w:t>DE</w:t>
      </w:r>
      <w:r w:rsidRPr="00384EB0">
        <w:rPr>
          <w:color w:val="000000"/>
        </w:rPr>
        <w:t xml:space="preserve"> = .19) y </w:t>
      </w:r>
      <w:r w:rsidRPr="00384EB0">
        <w:rPr>
          <w:i/>
          <w:color w:val="000000"/>
        </w:rPr>
        <w:t>Reforma</w:t>
      </w:r>
      <w:r w:rsidRPr="00384EB0">
        <w:rPr>
          <w:color w:val="000000"/>
        </w:rPr>
        <w:t xml:space="preserve"> (</w:t>
      </w:r>
      <w:r w:rsidRPr="00384EB0">
        <w:rPr>
          <w:i/>
          <w:lang w:val="es-MX"/>
        </w:rPr>
        <w:t>M</w:t>
      </w:r>
      <w:r w:rsidRPr="00384EB0">
        <w:rPr>
          <w:lang w:val="es-MX"/>
        </w:rPr>
        <w:t xml:space="preserve"> = </w:t>
      </w:r>
      <w:r w:rsidRPr="00384EB0">
        <w:rPr>
          <w:color w:val="000000"/>
        </w:rPr>
        <w:t xml:space="preserve">.43, </w:t>
      </w:r>
      <w:r w:rsidRPr="00384EB0">
        <w:rPr>
          <w:i/>
          <w:color w:val="000000"/>
        </w:rPr>
        <w:t>DE</w:t>
      </w:r>
      <w:r w:rsidRPr="00384EB0">
        <w:rPr>
          <w:color w:val="000000"/>
        </w:rPr>
        <w:t xml:space="preserve"> = .23). En los últimos lugares se situaron </w:t>
      </w:r>
      <w:r w:rsidRPr="00384EB0">
        <w:rPr>
          <w:i/>
          <w:color w:val="000000"/>
        </w:rPr>
        <w:t>El Universal</w:t>
      </w:r>
      <w:r w:rsidRPr="00384EB0">
        <w:rPr>
          <w:color w:val="000000"/>
        </w:rPr>
        <w:t xml:space="preserve"> (</w:t>
      </w:r>
      <w:r w:rsidRPr="00384EB0">
        <w:rPr>
          <w:i/>
          <w:lang w:val="es-MX"/>
        </w:rPr>
        <w:t>M</w:t>
      </w:r>
      <w:r w:rsidRPr="00384EB0">
        <w:rPr>
          <w:lang w:val="es-MX"/>
        </w:rPr>
        <w:t xml:space="preserve"> = </w:t>
      </w:r>
      <w:r w:rsidRPr="00384EB0">
        <w:rPr>
          <w:color w:val="000000"/>
        </w:rPr>
        <w:t xml:space="preserve">.41, </w:t>
      </w:r>
      <w:r w:rsidRPr="00384EB0">
        <w:rPr>
          <w:i/>
          <w:color w:val="000000"/>
        </w:rPr>
        <w:t>DE</w:t>
      </w:r>
      <w:r w:rsidRPr="00384EB0">
        <w:rPr>
          <w:color w:val="000000"/>
        </w:rPr>
        <w:t xml:space="preserve"> =</w:t>
      </w:r>
      <w:r w:rsidR="00E404DC">
        <w:rPr>
          <w:color w:val="000000"/>
        </w:rPr>
        <w:t xml:space="preserve"> </w:t>
      </w:r>
      <w:r w:rsidRPr="00384EB0">
        <w:rPr>
          <w:color w:val="000000"/>
        </w:rPr>
        <w:t xml:space="preserve">.18) y sobre todo </w:t>
      </w:r>
      <w:proofErr w:type="spellStart"/>
      <w:r w:rsidRPr="00384EB0">
        <w:rPr>
          <w:i/>
          <w:color w:val="000000"/>
        </w:rPr>
        <w:t>Excelsior</w:t>
      </w:r>
      <w:proofErr w:type="spellEnd"/>
      <w:r w:rsidRPr="00384EB0">
        <w:rPr>
          <w:color w:val="000000"/>
        </w:rPr>
        <w:t xml:space="preserve"> (</w:t>
      </w:r>
      <w:r w:rsidRPr="00384EB0">
        <w:rPr>
          <w:i/>
          <w:lang w:val="es-MX"/>
        </w:rPr>
        <w:t>M</w:t>
      </w:r>
      <w:r w:rsidRPr="00384EB0">
        <w:rPr>
          <w:lang w:val="es-MX"/>
        </w:rPr>
        <w:t xml:space="preserve"> = </w:t>
      </w:r>
      <w:r w:rsidRPr="00384EB0">
        <w:rPr>
          <w:color w:val="000000"/>
        </w:rPr>
        <w:t xml:space="preserve">.33, </w:t>
      </w:r>
      <w:r w:rsidRPr="00384EB0">
        <w:rPr>
          <w:i/>
          <w:color w:val="000000"/>
        </w:rPr>
        <w:t>DE</w:t>
      </w:r>
      <w:r w:rsidRPr="00384EB0">
        <w:rPr>
          <w:color w:val="000000"/>
        </w:rPr>
        <w:t xml:space="preserve"> = .18). Por su parte, las diferencias estadísticas en el uso del </w:t>
      </w:r>
      <w:r w:rsidRPr="00384EB0">
        <w:rPr>
          <w:lang w:val="es-MX"/>
        </w:rPr>
        <w:t xml:space="preserve">encuadre temático, </w:t>
      </w:r>
      <w:r w:rsidRPr="00384EB0">
        <w:rPr>
          <w:i/>
          <w:lang w:val="es-MX"/>
        </w:rPr>
        <w:t>F</w:t>
      </w:r>
      <w:r w:rsidRPr="00384EB0">
        <w:rPr>
          <w:lang w:val="es-MX"/>
        </w:rPr>
        <w:t xml:space="preserve">(4, 484) = 51.733, </w:t>
      </w:r>
      <w:r w:rsidRPr="00384EB0">
        <w:rPr>
          <w:i/>
          <w:lang w:val="es-MX"/>
        </w:rPr>
        <w:t>p</w:t>
      </w:r>
      <w:r w:rsidRPr="00384EB0">
        <w:rPr>
          <w:lang w:val="es-MX"/>
        </w:rPr>
        <w:t xml:space="preserve"> &lt; .001</w:t>
      </w:r>
      <w:r w:rsidR="006637A7">
        <w:t>, η</w:t>
      </w:r>
      <w:r w:rsidR="006637A7" w:rsidRPr="00FC7139">
        <w:rPr>
          <w:vertAlign w:val="superscript"/>
        </w:rPr>
        <w:t>2</w:t>
      </w:r>
      <w:r w:rsidR="006637A7">
        <w:t xml:space="preserve"> = .131</w:t>
      </w:r>
      <w:r w:rsidRPr="00384EB0">
        <w:rPr>
          <w:lang w:val="es-MX"/>
        </w:rPr>
        <w:t xml:space="preserve">, se detectaron entre cuatro grupos. Así </w:t>
      </w:r>
      <w:r w:rsidRPr="00384EB0">
        <w:rPr>
          <w:i/>
          <w:lang w:val="es-MX"/>
        </w:rPr>
        <w:t>Milenio</w:t>
      </w:r>
      <w:r w:rsidRPr="00384EB0">
        <w:rPr>
          <w:lang w:val="es-MX"/>
        </w:rPr>
        <w:t xml:space="preserve"> </w:t>
      </w:r>
      <w:r w:rsidRPr="00384EB0">
        <w:rPr>
          <w:lang w:val="es-MX"/>
        </w:rPr>
        <w:lastRenderedPageBreak/>
        <w:t>fue también el periódico que en mayor medida utilizó el tratamiento temático en sus notas (</w:t>
      </w:r>
      <w:r w:rsidRPr="00384EB0">
        <w:rPr>
          <w:i/>
          <w:lang w:val="es-MX"/>
        </w:rPr>
        <w:t>M</w:t>
      </w:r>
      <w:r w:rsidRPr="00384EB0">
        <w:rPr>
          <w:lang w:val="es-MX"/>
        </w:rPr>
        <w:t xml:space="preserve"> = </w:t>
      </w:r>
      <w:r w:rsidRPr="00384EB0">
        <w:rPr>
          <w:color w:val="000000"/>
        </w:rPr>
        <w:t xml:space="preserve">.34, </w:t>
      </w:r>
      <w:r w:rsidRPr="00384EB0">
        <w:rPr>
          <w:i/>
          <w:color w:val="000000"/>
        </w:rPr>
        <w:t>DE</w:t>
      </w:r>
      <w:r w:rsidRPr="00384EB0">
        <w:rPr>
          <w:color w:val="000000"/>
        </w:rPr>
        <w:t xml:space="preserve"> = .21). Sin embargo, en segundo lugar se situaron en un grupo único los periódicos </w:t>
      </w:r>
      <w:r w:rsidRPr="00384EB0">
        <w:rPr>
          <w:i/>
          <w:color w:val="000000"/>
        </w:rPr>
        <w:t>La Jornada</w:t>
      </w:r>
      <w:r w:rsidRPr="00384EB0">
        <w:rPr>
          <w:color w:val="000000"/>
        </w:rPr>
        <w:t xml:space="preserve"> (</w:t>
      </w:r>
      <w:r w:rsidRPr="00384EB0">
        <w:rPr>
          <w:i/>
          <w:lang w:val="es-MX"/>
        </w:rPr>
        <w:t>M</w:t>
      </w:r>
      <w:r w:rsidRPr="00384EB0">
        <w:rPr>
          <w:lang w:val="es-MX"/>
        </w:rPr>
        <w:t xml:space="preserve"> = </w:t>
      </w:r>
      <w:r w:rsidRPr="00384EB0">
        <w:rPr>
          <w:color w:val="000000"/>
        </w:rPr>
        <w:t xml:space="preserve">.29, </w:t>
      </w:r>
      <w:r w:rsidRPr="00384EB0">
        <w:rPr>
          <w:i/>
          <w:color w:val="000000"/>
        </w:rPr>
        <w:t>DE</w:t>
      </w:r>
      <w:r w:rsidRPr="00384EB0">
        <w:rPr>
          <w:color w:val="000000"/>
        </w:rPr>
        <w:t xml:space="preserve"> = .20) y </w:t>
      </w:r>
      <w:r w:rsidRPr="00384EB0">
        <w:rPr>
          <w:i/>
          <w:color w:val="000000"/>
        </w:rPr>
        <w:t>Reforma</w:t>
      </w:r>
      <w:r w:rsidRPr="00384EB0">
        <w:rPr>
          <w:color w:val="000000"/>
        </w:rPr>
        <w:t xml:space="preserve"> (</w:t>
      </w:r>
      <w:r w:rsidRPr="00384EB0">
        <w:rPr>
          <w:i/>
          <w:lang w:val="es-MX"/>
        </w:rPr>
        <w:t>M</w:t>
      </w:r>
      <w:r w:rsidRPr="00384EB0">
        <w:rPr>
          <w:lang w:val="es-MX"/>
        </w:rPr>
        <w:t xml:space="preserve"> = </w:t>
      </w:r>
      <w:r w:rsidRPr="00384EB0">
        <w:rPr>
          <w:color w:val="000000"/>
        </w:rPr>
        <w:t xml:space="preserve">.27, </w:t>
      </w:r>
      <w:r w:rsidRPr="00384EB0">
        <w:rPr>
          <w:i/>
          <w:color w:val="000000"/>
        </w:rPr>
        <w:t>DE</w:t>
      </w:r>
      <w:r w:rsidRPr="00384EB0">
        <w:rPr>
          <w:color w:val="000000"/>
        </w:rPr>
        <w:t xml:space="preserve"> = .25), entre los que no se encontraron diferencias estadísticamente significativas atendiendo a los resultados de la prueba </w:t>
      </w:r>
      <w:r w:rsidRPr="00384EB0">
        <w:rPr>
          <w:i/>
          <w:lang w:val="es-MX"/>
        </w:rPr>
        <w:t>post-hoc</w:t>
      </w:r>
      <w:r w:rsidRPr="00384EB0">
        <w:rPr>
          <w:lang w:val="es-MX"/>
        </w:rPr>
        <w:t xml:space="preserve"> HD </w:t>
      </w:r>
      <w:proofErr w:type="spellStart"/>
      <w:r w:rsidRPr="00384EB0">
        <w:rPr>
          <w:lang w:val="es-MX"/>
        </w:rPr>
        <w:t>Tukey</w:t>
      </w:r>
      <w:proofErr w:type="spellEnd"/>
      <w:r w:rsidRPr="00384EB0">
        <w:rPr>
          <w:lang w:val="es-MX"/>
        </w:rPr>
        <w:t xml:space="preserve"> realizada</w:t>
      </w:r>
      <w:r w:rsidRPr="00384EB0">
        <w:rPr>
          <w:color w:val="000000"/>
        </w:rPr>
        <w:t xml:space="preserve">. En los últimos lugares se situaron de nuevo </w:t>
      </w:r>
      <w:r w:rsidRPr="00384EB0">
        <w:rPr>
          <w:i/>
          <w:color w:val="000000"/>
        </w:rPr>
        <w:t>El Universal</w:t>
      </w:r>
      <w:r w:rsidRPr="00384EB0">
        <w:rPr>
          <w:color w:val="000000"/>
        </w:rPr>
        <w:t xml:space="preserve"> (</w:t>
      </w:r>
      <w:r w:rsidRPr="00384EB0">
        <w:rPr>
          <w:i/>
          <w:lang w:val="es-MX"/>
        </w:rPr>
        <w:t>M</w:t>
      </w:r>
      <w:r w:rsidRPr="00384EB0">
        <w:rPr>
          <w:lang w:val="es-MX"/>
        </w:rPr>
        <w:t xml:space="preserve"> = </w:t>
      </w:r>
      <w:r w:rsidRPr="00384EB0">
        <w:rPr>
          <w:color w:val="000000"/>
        </w:rPr>
        <w:t xml:space="preserve">.17, </w:t>
      </w:r>
      <w:r w:rsidRPr="00384EB0">
        <w:rPr>
          <w:i/>
          <w:color w:val="000000"/>
        </w:rPr>
        <w:t>DE</w:t>
      </w:r>
      <w:r w:rsidRPr="00384EB0">
        <w:rPr>
          <w:color w:val="000000"/>
        </w:rPr>
        <w:t xml:space="preserve"> =</w:t>
      </w:r>
      <w:r w:rsidR="00E404DC">
        <w:rPr>
          <w:color w:val="000000"/>
        </w:rPr>
        <w:t xml:space="preserve"> </w:t>
      </w:r>
      <w:r w:rsidRPr="00384EB0">
        <w:rPr>
          <w:color w:val="000000"/>
        </w:rPr>
        <w:t xml:space="preserve">.18) y el </w:t>
      </w:r>
      <w:proofErr w:type="spellStart"/>
      <w:r w:rsidRPr="00384EB0">
        <w:rPr>
          <w:i/>
          <w:color w:val="000000"/>
        </w:rPr>
        <w:t>Excelsior</w:t>
      </w:r>
      <w:proofErr w:type="spellEnd"/>
      <w:r w:rsidRPr="00384EB0">
        <w:rPr>
          <w:color w:val="000000"/>
        </w:rPr>
        <w:t xml:space="preserve"> (</w:t>
      </w:r>
      <w:r w:rsidRPr="00384EB0">
        <w:rPr>
          <w:i/>
          <w:lang w:val="es-MX"/>
        </w:rPr>
        <w:t>M</w:t>
      </w:r>
      <w:r w:rsidRPr="00384EB0">
        <w:rPr>
          <w:lang w:val="es-MX"/>
        </w:rPr>
        <w:t xml:space="preserve"> = </w:t>
      </w:r>
      <w:r w:rsidRPr="00384EB0">
        <w:rPr>
          <w:color w:val="000000"/>
        </w:rPr>
        <w:t xml:space="preserve">.13, </w:t>
      </w:r>
      <w:r w:rsidRPr="00384EB0">
        <w:rPr>
          <w:i/>
          <w:color w:val="000000"/>
        </w:rPr>
        <w:t>DE</w:t>
      </w:r>
      <w:r w:rsidRPr="00384EB0">
        <w:rPr>
          <w:color w:val="000000"/>
        </w:rPr>
        <w:t xml:space="preserve"> = .17)</w:t>
      </w:r>
      <w:r>
        <w:rPr>
          <w:color w:val="000000"/>
        </w:rPr>
        <w:t xml:space="preserve">. </w:t>
      </w:r>
      <w:r w:rsidRPr="001C3314">
        <w:t>Junto a ello, se detecta una mayor diferencia en el uso de ambos encuadres en el caso de la Jornada (</w:t>
      </w:r>
      <w:r w:rsidRPr="00E404DC">
        <w:rPr>
          <w:i/>
        </w:rPr>
        <w:t>d</w:t>
      </w:r>
      <w:r w:rsidRPr="001C3314">
        <w:t xml:space="preserve"> = 1.49) y Milenio (</w:t>
      </w:r>
      <w:r w:rsidRPr="00E404DC">
        <w:rPr>
          <w:i/>
        </w:rPr>
        <w:t>d</w:t>
      </w:r>
      <w:r w:rsidRPr="001C3314">
        <w:t xml:space="preserve"> = 1.48), lo que refleja una fuerte polarización en ambos diarios y una mayor cobertura estratégica en sus notas frente al resto de di</w:t>
      </w:r>
      <w:r>
        <w:t xml:space="preserve">arios </w:t>
      </w:r>
      <w:r w:rsidRPr="00384EB0">
        <w:rPr>
          <w:color w:val="000000"/>
        </w:rPr>
        <w:t>(Ver datos en la Tabla 3).</w:t>
      </w:r>
      <w:r>
        <w:rPr>
          <w:color w:val="000000"/>
        </w:rPr>
        <w:t xml:space="preserve"> </w:t>
      </w:r>
    </w:p>
    <w:p w:rsidR="00384EB0" w:rsidRPr="00384EB0" w:rsidRDefault="00384EB0" w:rsidP="00384EB0">
      <w:pPr>
        <w:ind w:right="44" w:firstLine="708"/>
        <w:jc w:val="both"/>
        <w:rPr>
          <w:lang w:val="es-MX"/>
        </w:rPr>
      </w:pPr>
    </w:p>
    <w:p w:rsidR="00384EB0" w:rsidRPr="00384EB0" w:rsidRDefault="00384EB0" w:rsidP="00384EB0">
      <w:pPr>
        <w:autoSpaceDE w:val="0"/>
        <w:jc w:val="both"/>
        <w:rPr>
          <w:color w:val="000000"/>
          <w:lang w:val="es-MX" w:eastAsia="es-MX"/>
        </w:rPr>
      </w:pPr>
      <w:r w:rsidRPr="00384EB0">
        <w:rPr>
          <w:b/>
        </w:rPr>
        <w:t xml:space="preserve">Tabla 3. </w:t>
      </w:r>
      <w:r w:rsidRPr="002E7B19">
        <w:t>Comparación de presencia de los encuadres en función del diario o periódico analizado</w:t>
      </w:r>
    </w:p>
    <w:tbl>
      <w:tblPr>
        <w:tblW w:w="9053" w:type="dxa"/>
        <w:jc w:val="center"/>
        <w:tblInd w:w="2147" w:type="dxa"/>
        <w:tblBorders>
          <w:top w:val="single" w:sz="4" w:space="0" w:color="auto"/>
          <w:bottom w:val="single" w:sz="4" w:space="0" w:color="auto"/>
        </w:tblBorders>
        <w:tblLayout w:type="fixed"/>
        <w:tblCellMar>
          <w:left w:w="0" w:type="dxa"/>
          <w:right w:w="0" w:type="dxa"/>
        </w:tblCellMar>
        <w:tblLook w:val="0000"/>
      </w:tblPr>
      <w:tblGrid>
        <w:gridCol w:w="2276"/>
        <w:gridCol w:w="1355"/>
        <w:gridCol w:w="1355"/>
        <w:gridCol w:w="1356"/>
        <w:gridCol w:w="1355"/>
        <w:gridCol w:w="1356"/>
      </w:tblGrid>
      <w:tr w:rsidR="00384EB0" w:rsidRPr="00384EB0" w:rsidTr="00E404DC">
        <w:tblPrEx>
          <w:tblCellMar>
            <w:top w:w="0" w:type="dxa"/>
            <w:bottom w:w="0" w:type="dxa"/>
          </w:tblCellMar>
        </w:tblPrEx>
        <w:trPr>
          <w:cantSplit/>
          <w:trHeight w:val="468"/>
          <w:jc w:val="center"/>
        </w:trPr>
        <w:tc>
          <w:tcPr>
            <w:tcW w:w="2276" w:type="dxa"/>
            <w:vMerge w:val="restart"/>
            <w:shd w:val="clear" w:color="auto" w:fill="FFFFFF"/>
            <w:vAlign w:val="center"/>
          </w:tcPr>
          <w:p w:rsidR="00384EB0" w:rsidRPr="00384EB0" w:rsidRDefault="00384EB0" w:rsidP="00384EB0">
            <w:pPr>
              <w:autoSpaceDE w:val="0"/>
              <w:autoSpaceDN w:val="0"/>
              <w:adjustRightInd w:val="0"/>
              <w:jc w:val="center"/>
              <w:rPr>
                <w:color w:val="000000"/>
              </w:rPr>
            </w:pPr>
          </w:p>
        </w:tc>
        <w:tc>
          <w:tcPr>
            <w:tcW w:w="6777" w:type="dxa"/>
            <w:gridSpan w:val="5"/>
            <w:tcBorders>
              <w:top w:val="single" w:sz="4" w:space="0" w:color="auto"/>
              <w:bottom w:val="single" w:sz="4" w:space="0" w:color="auto"/>
            </w:tcBorders>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Candidato presidencial</w:t>
            </w:r>
          </w:p>
        </w:tc>
      </w:tr>
      <w:tr w:rsidR="00384EB0" w:rsidRPr="00384EB0" w:rsidTr="00E404DC">
        <w:tblPrEx>
          <w:tblCellMar>
            <w:top w:w="0" w:type="dxa"/>
            <w:bottom w:w="0" w:type="dxa"/>
          </w:tblCellMar>
        </w:tblPrEx>
        <w:trPr>
          <w:cantSplit/>
          <w:trHeight w:val="468"/>
          <w:jc w:val="center"/>
        </w:trPr>
        <w:tc>
          <w:tcPr>
            <w:tcW w:w="2276" w:type="dxa"/>
            <w:vMerge/>
            <w:shd w:val="clear" w:color="auto" w:fill="FFFFFF"/>
            <w:vAlign w:val="center"/>
          </w:tcPr>
          <w:p w:rsidR="00384EB0" w:rsidRPr="00384EB0" w:rsidRDefault="00384EB0" w:rsidP="00384EB0">
            <w:pPr>
              <w:autoSpaceDE w:val="0"/>
              <w:autoSpaceDN w:val="0"/>
              <w:adjustRightInd w:val="0"/>
              <w:jc w:val="center"/>
              <w:rPr>
                <w:color w:val="000000"/>
              </w:rPr>
            </w:pPr>
          </w:p>
        </w:tc>
        <w:tc>
          <w:tcPr>
            <w:tcW w:w="1355" w:type="dxa"/>
            <w:tcBorders>
              <w:top w:val="single" w:sz="4" w:space="0" w:color="auto"/>
            </w:tcBorders>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La Jornada</w:t>
            </w:r>
          </w:p>
        </w:tc>
        <w:tc>
          <w:tcPr>
            <w:tcW w:w="1355" w:type="dxa"/>
            <w:tcBorders>
              <w:top w:val="single" w:sz="4" w:space="0" w:color="auto"/>
            </w:tcBorders>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Reforma</w:t>
            </w:r>
          </w:p>
        </w:tc>
        <w:tc>
          <w:tcPr>
            <w:tcW w:w="1356" w:type="dxa"/>
            <w:tcBorders>
              <w:top w:val="single" w:sz="4" w:space="0" w:color="auto"/>
            </w:tcBorders>
            <w:shd w:val="clear" w:color="auto" w:fill="FFFFFF"/>
            <w:vAlign w:val="center"/>
          </w:tcPr>
          <w:p w:rsidR="00384EB0" w:rsidRPr="00384EB0" w:rsidRDefault="00384EB0" w:rsidP="00384EB0">
            <w:pPr>
              <w:autoSpaceDE w:val="0"/>
              <w:autoSpaceDN w:val="0"/>
              <w:adjustRightInd w:val="0"/>
              <w:ind w:left="60" w:right="60"/>
              <w:jc w:val="center"/>
              <w:rPr>
                <w:color w:val="000000"/>
              </w:rPr>
            </w:pPr>
            <w:proofErr w:type="spellStart"/>
            <w:r w:rsidRPr="00384EB0">
              <w:rPr>
                <w:color w:val="000000"/>
              </w:rPr>
              <w:t>Excelsior</w:t>
            </w:r>
            <w:proofErr w:type="spellEnd"/>
          </w:p>
        </w:tc>
        <w:tc>
          <w:tcPr>
            <w:tcW w:w="1355" w:type="dxa"/>
            <w:tcBorders>
              <w:top w:val="single" w:sz="4" w:space="0" w:color="auto"/>
            </w:tcBorders>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Milenio</w:t>
            </w:r>
          </w:p>
        </w:tc>
        <w:tc>
          <w:tcPr>
            <w:tcW w:w="1356" w:type="dxa"/>
            <w:tcBorders>
              <w:top w:val="single" w:sz="4" w:space="0" w:color="auto"/>
            </w:tcBorders>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El Universal</w:t>
            </w:r>
          </w:p>
        </w:tc>
      </w:tr>
      <w:tr w:rsidR="00384EB0" w:rsidRPr="00384EB0" w:rsidTr="00E404DC">
        <w:tblPrEx>
          <w:tblCellMar>
            <w:top w:w="0" w:type="dxa"/>
            <w:bottom w:w="0" w:type="dxa"/>
          </w:tblCellMar>
        </w:tblPrEx>
        <w:trPr>
          <w:cantSplit/>
          <w:trHeight w:val="468"/>
          <w:jc w:val="center"/>
        </w:trPr>
        <w:tc>
          <w:tcPr>
            <w:tcW w:w="2276" w:type="dxa"/>
            <w:shd w:val="clear" w:color="auto" w:fill="FFFFFF"/>
            <w:vAlign w:val="center"/>
          </w:tcPr>
          <w:p w:rsidR="00384EB0" w:rsidRPr="00384EB0" w:rsidRDefault="00384EB0" w:rsidP="00384EB0">
            <w:pPr>
              <w:autoSpaceDE w:val="0"/>
              <w:autoSpaceDN w:val="0"/>
              <w:adjustRightInd w:val="0"/>
              <w:ind w:left="60" w:right="60"/>
              <w:rPr>
                <w:color w:val="000000"/>
              </w:rPr>
            </w:pPr>
            <w:r w:rsidRPr="00384EB0">
              <w:rPr>
                <w:color w:val="000000"/>
              </w:rPr>
              <w:t>Encuadre estratégico</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.58 (.19)***</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.43 (.23)***</w:t>
            </w:r>
          </w:p>
        </w:tc>
        <w:tc>
          <w:tcPr>
            <w:tcW w:w="135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.33 (.18)***</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.65 (.21)***</w:t>
            </w:r>
          </w:p>
        </w:tc>
        <w:tc>
          <w:tcPr>
            <w:tcW w:w="135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.41 (.18)***</w:t>
            </w:r>
          </w:p>
        </w:tc>
      </w:tr>
      <w:tr w:rsidR="00384EB0" w:rsidRPr="00384EB0" w:rsidTr="00E404DC">
        <w:tblPrEx>
          <w:tblCellMar>
            <w:top w:w="0" w:type="dxa"/>
            <w:bottom w:w="0" w:type="dxa"/>
          </w:tblCellMar>
        </w:tblPrEx>
        <w:trPr>
          <w:cantSplit/>
          <w:trHeight w:val="468"/>
          <w:jc w:val="center"/>
        </w:trPr>
        <w:tc>
          <w:tcPr>
            <w:tcW w:w="2276" w:type="dxa"/>
            <w:shd w:val="clear" w:color="auto" w:fill="FFFFFF"/>
            <w:vAlign w:val="center"/>
          </w:tcPr>
          <w:p w:rsidR="00384EB0" w:rsidRPr="00384EB0" w:rsidRDefault="00384EB0" w:rsidP="00384EB0">
            <w:pPr>
              <w:autoSpaceDE w:val="0"/>
              <w:autoSpaceDN w:val="0"/>
              <w:adjustRightInd w:val="0"/>
              <w:ind w:left="60" w:right="60"/>
              <w:rPr>
                <w:color w:val="000000"/>
              </w:rPr>
            </w:pPr>
            <w:r w:rsidRPr="00384EB0">
              <w:rPr>
                <w:color w:val="000000"/>
              </w:rPr>
              <w:t>Encuadre temático</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.29 (.20)***</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.27 (.25)***</w:t>
            </w:r>
          </w:p>
        </w:tc>
        <w:tc>
          <w:tcPr>
            <w:tcW w:w="135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.13 (.17)***</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.34 (.21)***</w:t>
            </w:r>
          </w:p>
        </w:tc>
        <w:tc>
          <w:tcPr>
            <w:tcW w:w="135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rPr>
              <w:t>.17 (.18)***</w:t>
            </w:r>
          </w:p>
        </w:tc>
      </w:tr>
      <w:tr w:rsidR="00384EB0" w:rsidRPr="00384EB0" w:rsidTr="00E404DC">
        <w:tblPrEx>
          <w:tblCellMar>
            <w:top w:w="0" w:type="dxa"/>
            <w:bottom w:w="0" w:type="dxa"/>
          </w:tblCellMar>
        </w:tblPrEx>
        <w:trPr>
          <w:cantSplit/>
          <w:trHeight w:val="468"/>
          <w:jc w:val="center"/>
        </w:trPr>
        <w:tc>
          <w:tcPr>
            <w:tcW w:w="227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i/>
                <w:color w:val="000000"/>
                <w:lang w:val="es-MX"/>
              </w:rPr>
              <w:t xml:space="preserve">d </w:t>
            </w:r>
            <w:r w:rsidRPr="00384EB0">
              <w:rPr>
                <w:color w:val="000000"/>
                <w:lang w:val="es-MX"/>
              </w:rPr>
              <w:t>de Cohen</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lang w:val="es-MX"/>
              </w:rPr>
              <w:t>1.49</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lang w:val="es-MX"/>
              </w:rPr>
              <w:t>0.67</w:t>
            </w:r>
          </w:p>
        </w:tc>
        <w:tc>
          <w:tcPr>
            <w:tcW w:w="135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lang w:val="es-MX"/>
              </w:rPr>
              <w:t>1.14</w:t>
            </w:r>
          </w:p>
        </w:tc>
        <w:tc>
          <w:tcPr>
            <w:tcW w:w="1355"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lang w:val="es-MX"/>
              </w:rPr>
              <w:t>1.48</w:t>
            </w:r>
          </w:p>
        </w:tc>
        <w:tc>
          <w:tcPr>
            <w:tcW w:w="1356" w:type="dxa"/>
            <w:shd w:val="clear" w:color="auto" w:fill="FFFFFF"/>
            <w:vAlign w:val="center"/>
          </w:tcPr>
          <w:p w:rsidR="00384EB0" w:rsidRPr="00384EB0" w:rsidRDefault="00384EB0" w:rsidP="00384EB0">
            <w:pPr>
              <w:autoSpaceDE w:val="0"/>
              <w:autoSpaceDN w:val="0"/>
              <w:adjustRightInd w:val="0"/>
              <w:ind w:left="60" w:right="60"/>
              <w:jc w:val="center"/>
              <w:rPr>
                <w:color w:val="000000"/>
              </w:rPr>
            </w:pPr>
            <w:r w:rsidRPr="00384EB0">
              <w:rPr>
                <w:color w:val="000000"/>
                <w:lang w:val="es-MX"/>
              </w:rPr>
              <w:t>1.33</w:t>
            </w:r>
          </w:p>
        </w:tc>
      </w:tr>
    </w:tbl>
    <w:p w:rsidR="00384EB0" w:rsidRPr="00384EB0" w:rsidRDefault="00384EB0" w:rsidP="00384EB0">
      <w:pPr>
        <w:autoSpaceDE w:val="0"/>
        <w:jc w:val="both"/>
        <w:rPr>
          <w:sz w:val="20"/>
          <w:szCs w:val="20"/>
        </w:rPr>
      </w:pPr>
      <w:r w:rsidRPr="00384EB0">
        <w:rPr>
          <w:i/>
          <w:sz w:val="20"/>
          <w:szCs w:val="20"/>
        </w:rPr>
        <w:t>Nota:</w:t>
      </w:r>
      <w:r w:rsidRPr="00384EB0">
        <w:rPr>
          <w:sz w:val="20"/>
          <w:szCs w:val="20"/>
        </w:rPr>
        <w:t xml:space="preserve"> </w:t>
      </w:r>
      <w:r w:rsidRPr="00384EB0">
        <w:rPr>
          <w:i/>
          <w:sz w:val="20"/>
          <w:szCs w:val="20"/>
        </w:rPr>
        <w:t>N</w:t>
      </w:r>
      <w:r w:rsidRPr="00384EB0">
        <w:rPr>
          <w:sz w:val="20"/>
          <w:szCs w:val="20"/>
        </w:rPr>
        <w:t xml:space="preserve"> = 1287. Todos los encuadres tenían un rango de variación de 0 (Nada presente) a 1 (Muy presente). </w:t>
      </w:r>
      <w:r w:rsidRPr="00384EB0">
        <w:rPr>
          <w:sz w:val="20"/>
          <w:szCs w:val="20"/>
          <w:lang w:val="es-MX"/>
        </w:rPr>
        <w:t xml:space="preserve">La </w:t>
      </w:r>
      <w:r w:rsidRPr="00384EB0">
        <w:rPr>
          <w:i/>
          <w:sz w:val="20"/>
          <w:szCs w:val="20"/>
          <w:lang w:val="es-MX"/>
        </w:rPr>
        <w:t>d</w:t>
      </w:r>
      <w:r w:rsidRPr="00384EB0">
        <w:rPr>
          <w:sz w:val="20"/>
          <w:szCs w:val="20"/>
          <w:lang w:val="es-MX"/>
        </w:rPr>
        <w:t xml:space="preserve"> de Cohen expresa el tamaño de la diferencia entre la presencia promedio de los encuadres en cada periódico. </w:t>
      </w:r>
      <w:r w:rsidRPr="00384EB0">
        <w:rPr>
          <w:sz w:val="20"/>
          <w:szCs w:val="20"/>
        </w:rPr>
        <w:t>Las diferencias son significativas a nivel ***</w:t>
      </w:r>
      <w:r w:rsidRPr="00384EB0">
        <w:rPr>
          <w:i/>
          <w:sz w:val="20"/>
          <w:szCs w:val="20"/>
        </w:rPr>
        <w:t>p</w:t>
      </w:r>
      <w:r w:rsidRPr="00384EB0">
        <w:rPr>
          <w:sz w:val="20"/>
          <w:szCs w:val="20"/>
        </w:rPr>
        <w:t xml:space="preserve"> &lt; .001</w:t>
      </w:r>
    </w:p>
    <w:p w:rsidR="00384EB0" w:rsidRDefault="00384EB0" w:rsidP="00384EB0">
      <w:pPr>
        <w:jc w:val="both"/>
        <w:rPr>
          <w:b/>
        </w:rPr>
      </w:pPr>
    </w:p>
    <w:p w:rsidR="00E404DC" w:rsidRPr="006637A7" w:rsidRDefault="00E404DC" w:rsidP="006637A7">
      <w:pPr>
        <w:jc w:val="both"/>
      </w:pPr>
      <w:r>
        <w:rPr>
          <w:lang w:val="es-MX"/>
        </w:rPr>
        <w:tab/>
        <w:t xml:space="preserve">Por otra parte, </w:t>
      </w:r>
      <w:r w:rsidRPr="00384EB0">
        <w:rPr>
          <w:lang w:val="es-MX"/>
        </w:rPr>
        <w:t>s</w:t>
      </w:r>
      <w:r>
        <w:rPr>
          <w:lang w:val="es-MX"/>
        </w:rPr>
        <w:t>e evaluó la existencia de diferencias estadísticamente significativas en el uso de los dos encuadres atendiendo al género de la información o nota publicada</w:t>
      </w:r>
      <w:r w:rsidRPr="00384EB0">
        <w:rPr>
          <w:lang w:val="es-MX"/>
        </w:rPr>
        <w:t xml:space="preserve"> (Ver datos en la Tabla 4). Con respecto al uso del encuadre estratégico, </w:t>
      </w:r>
      <w:r>
        <w:rPr>
          <w:lang w:val="es-MX"/>
        </w:rPr>
        <w:t xml:space="preserve">se detectaron diferencias estadísticamente </w:t>
      </w:r>
      <w:r w:rsidR="006637A7">
        <w:rPr>
          <w:lang w:val="es-MX"/>
        </w:rPr>
        <w:t>santificativas</w:t>
      </w:r>
      <w:r>
        <w:rPr>
          <w:lang w:val="es-MX"/>
        </w:rPr>
        <w:t xml:space="preserve"> entre los diferentes géneros analizados</w:t>
      </w:r>
      <w:r w:rsidRPr="00384EB0">
        <w:rPr>
          <w:lang w:val="es-MX"/>
        </w:rPr>
        <w:t xml:space="preserve">, </w:t>
      </w:r>
      <w:r w:rsidRPr="002E7B19">
        <w:rPr>
          <w:i/>
        </w:rPr>
        <w:t>F</w:t>
      </w:r>
      <w:r w:rsidRPr="002E7B19">
        <w:t xml:space="preserve">(3, </w:t>
      </w:r>
      <w:r w:rsidR="006637A7">
        <w:t>1283</w:t>
      </w:r>
      <w:r w:rsidRPr="002E7B19">
        <w:t>) = 1</w:t>
      </w:r>
      <w:r w:rsidR="006637A7">
        <w:t>0</w:t>
      </w:r>
      <w:r w:rsidRPr="002E7B19">
        <w:t>.</w:t>
      </w:r>
      <w:r w:rsidR="006637A7">
        <w:t>778</w:t>
      </w:r>
      <w:r w:rsidRPr="002E7B19">
        <w:t xml:space="preserve">, </w:t>
      </w:r>
      <w:r w:rsidRPr="002E7B19">
        <w:rPr>
          <w:i/>
        </w:rPr>
        <w:t>p</w:t>
      </w:r>
      <w:r w:rsidRPr="002E7B19">
        <w:t xml:space="preserve"> &lt; .001</w:t>
      </w:r>
      <w:r>
        <w:t>, η</w:t>
      </w:r>
      <w:r w:rsidRPr="00FC7139">
        <w:rPr>
          <w:vertAlign w:val="superscript"/>
        </w:rPr>
        <w:t>2</w:t>
      </w:r>
      <w:r>
        <w:t xml:space="preserve"> = .025</w:t>
      </w:r>
      <w:r w:rsidRPr="00384EB0">
        <w:rPr>
          <w:lang w:val="es-MX"/>
        </w:rPr>
        <w:t xml:space="preserve">. </w:t>
      </w:r>
      <w:r>
        <w:rPr>
          <w:lang w:val="es-MX"/>
        </w:rPr>
        <w:t xml:space="preserve">La prueba </w:t>
      </w:r>
      <w:r w:rsidRPr="00E404DC">
        <w:rPr>
          <w:i/>
          <w:lang w:val="es-MX"/>
        </w:rPr>
        <w:t>post-hoc</w:t>
      </w:r>
      <w:r>
        <w:rPr>
          <w:lang w:val="es-MX"/>
        </w:rPr>
        <w:t xml:space="preserve"> </w:t>
      </w:r>
      <w:r w:rsidRPr="00384EB0">
        <w:rPr>
          <w:lang w:val="es-MX"/>
        </w:rPr>
        <w:t xml:space="preserve">HD </w:t>
      </w:r>
      <w:proofErr w:type="spellStart"/>
      <w:r w:rsidRPr="00384EB0">
        <w:rPr>
          <w:lang w:val="es-MX"/>
        </w:rPr>
        <w:t>Tukey</w:t>
      </w:r>
      <w:proofErr w:type="spellEnd"/>
      <w:r w:rsidRPr="00384EB0">
        <w:rPr>
          <w:lang w:val="es-MX"/>
        </w:rPr>
        <w:t xml:space="preserve"> </w:t>
      </w:r>
      <w:r>
        <w:rPr>
          <w:lang w:val="es-MX"/>
        </w:rPr>
        <w:t xml:space="preserve">realizada reveló diferencias entre tres grupos de géneros. Por una parte, las noticias </w:t>
      </w:r>
      <w:r w:rsidRPr="00384EB0">
        <w:rPr>
          <w:lang w:val="es-MX"/>
        </w:rPr>
        <w:t>(</w:t>
      </w:r>
      <w:r w:rsidRPr="00384EB0">
        <w:rPr>
          <w:i/>
          <w:lang w:val="es-MX"/>
        </w:rPr>
        <w:t>M</w:t>
      </w:r>
      <w:r w:rsidRPr="00384EB0">
        <w:rPr>
          <w:lang w:val="es-MX"/>
        </w:rPr>
        <w:t xml:space="preserve"> = </w:t>
      </w:r>
      <w:r w:rsidRPr="00384EB0">
        <w:rPr>
          <w:color w:val="000000"/>
        </w:rPr>
        <w:t>.</w:t>
      </w:r>
      <w:r>
        <w:rPr>
          <w:color w:val="000000"/>
        </w:rPr>
        <w:t>4</w:t>
      </w:r>
      <w:r w:rsidRPr="00384EB0">
        <w:rPr>
          <w:color w:val="000000"/>
        </w:rPr>
        <w:t xml:space="preserve">5, </w:t>
      </w:r>
      <w:r w:rsidRPr="00384EB0">
        <w:rPr>
          <w:i/>
          <w:color w:val="000000"/>
        </w:rPr>
        <w:t>DE</w:t>
      </w:r>
      <w:r w:rsidRPr="00384EB0">
        <w:rPr>
          <w:color w:val="000000"/>
        </w:rPr>
        <w:t xml:space="preserve"> = .2</w:t>
      </w:r>
      <w:r>
        <w:rPr>
          <w:color w:val="000000"/>
        </w:rPr>
        <w:t>3</w:t>
      </w:r>
      <w:r w:rsidRPr="00384EB0">
        <w:rPr>
          <w:color w:val="000000"/>
        </w:rPr>
        <w:t>)</w:t>
      </w:r>
      <w:r>
        <w:rPr>
          <w:color w:val="000000"/>
        </w:rPr>
        <w:t xml:space="preserve"> y entrevistas</w:t>
      </w:r>
      <w:r w:rsidRPr="00384EB0">
        <w:rPr>
          <w:color w:val="000000"/>
        </w:rPr>
        <w:t xml:space="preserve"> (</w:t>
      </w:r>
      <w:r w:rsidRPr="00384EB0">
        <w:rPr>
          <w:i/>
          <w:lang w:val="es-MX"/>
        </w:rPr>
        <w:t>M</w:t>
      </w:r>
      <w:r w:rsidRPr="00384EB0">
        <w:rPr>
          <w:lang w:val="es-MX"/>
        </w:rPr>
        <w:t xml:space="preserve"> = </w:t>
      </w:r>
      <w:r w:rsidRPr="00384EB0">
        <w:rPr>
          <w:color w:val="000000"/>
        </w:rPr>
        <w:t>.</w:t>
      </w:r>
      <w:r>
        <w:rPr>
          <w:color w:val="000000"/>
        </w:rPr>
        <w:t>46</w:t>
      </w:r>
      <w:r w:rsidRPr="00384EB0">
        <w:rPr>
          <w:color w:val="000000"/>
        </w:rPr>
        <w:t xml:space="preserve">, </w:t>
      </w:r>
      <w:r w:rsidRPr="00384EB0">
        <w:rPr>
          <w:i/>
          <w:color w:val="000000"/>
        </w:rPr>
        <w:t>DE</w:t>
      </w:r>
      <w:r w:rsidRPr="00384EB0">
        <w:rPr>
          <w:color w:val="000000"/>
        </w:rPr>
        <w:t xml:space="preserve"> = .</w:t>
      </w:r>
      <w:r>
        <w:rPr>
          <w:color w:val="000000"/>
        </w:rPr>
        <w:t>2</w:t>
      </w:r>
      <w:r w:rsidRPr="00384EB0">
        <w:rPr>
          <w:color w:val="000000"/>
        </w:rPr>
        <w:t>9)</w:t>
      </w:r>
      <w:r>
        <w:rPr>
          <w:color w:val="000000"/>
        </w:rPr>
        <w:t xml:space="preserve"> dominaron en la presencia del encuadre estratégico. En un grupo diferente, y con menor presencia del encuadre, se situaron los reportajes </w:t>
      </w:r>
      <w:r w:rsidRPr="00384EB0">
        <w:rPr>
          <w:lang w:val="es-MX"/>
        </w:rPr>
        <w:t>(</w:t>
      </w:r>
      <w:r w:rsidRPr="00384EB0">
        <w:rPr>
          <w:i/>
          <w:lang w:val="es-MX"/>
        </w:rPr>
        <w:t>M</w:t>
      </w:r>
      <w:r w:rsidRPr="00384EB0">
        <w:rPr>
          <w:lang w:val="es-MX"/>
        </w:rPr>
        <w:t xml:space="preserve"> = </w:t>
      </w:r>
      <w:r w:rsidRPr="00384EB0">
        <w:rPr>
          <w:color w:val="000000"/>
        </w:rPr>
        <w:t>.</w:t>
      </w:r>
      <w:r>
        <w:rPr>
          <w:color w:val="000000"/>
        </w:rPr>
        <w:t>41</w:t>
      </w:r>
      <w:r w:rsidRPr="00384EB0">
        <w:rPr>
          <w:color w:val="000000"/>
        </w:rPr>
        <w:t xml:space="preserve">, </w:t>
      </w:r>
      <w:r w:rsidRPr="00384EB0">
        <w:rPr>
          <w:i/>
          <w:color w:val="000000"/>
        </w:rPr>
        <w:t>DE</w:t>
      </w:r>
      <w:r w:rsidRPr="00384EB0">
        <w:rPr>
          <w:color w:val="000000"/>
        </w:rPr>
        <w:t xml:space="preserve"> = .</w:t>
      </w:r>
      <w:r>
        <w:rPr>
          <w:color w:val="000000"/>
        </w:rPr>
        <w:t>19</w:t>
      </w:r>
      <w:r w:rsidRPr="00384EB0">
        <w:rPr>
          <w:color w:val="000000"/>
        </w:rPr>
        <w:t>)</w:t>
      </w:r>
      <w:r>
        <w:rPr>
          <w:color w:val="000000"/>
        </w:rPr>
        <w:t xml:space="preserve">, siendo las notas breves las que en menor medida presentaron este encuadre noticioso </w:t>
      </w:r>
      <w:r w:rsidRPr="00384EB0">
        <w:rPr>
          <w:lang w:val="es-MX"/>
        </w:rPr>
        <w:t>(</w:t>
      </w:r>
      <w:r w:rsidRPr="00384EB0">
        <w:rPr>
          <w:i/>
          <w:lang w:val="es-MX"/>
        </w:rPr>
        <w:t>M</w:t>
      </w:r>
      <w:r w:rsidRPr="00384EB0">
        <w:rPr>
          <w:lang w:val="es-MX"/>
        </w:rPr>
        <w:t xml:space="preserve"> = </w:t>
      </w:r>
      <w:r w:rsidRPr="00384EB0">
        <w:rPr>
          <w:color w:val="000000"/>
        </w:rPr>
        <w:t>.</w:t>
      </w:r>
      <w:r>
        <w:rPr>
          <w:color w:val="000000"/>
        </w:rPr>
        <w:t>32</w:t>
      </w:r>
      <w:r w:rsidRPr="00384EB0">
        <w:rPr>
          <w:color w:val="000000"/>
        </w:rPr>
        <w:t xml:space="preserve">, </w:t>
      </w:r>
      <w:r w:rsidRPr="00384EB0">
        <w:rPr>
          <w:i/>
          <w:color w:val="000000"/>
        </w:rPr>
        <w:t>DE</w:t>
      </w:r>
      <w:r>
        <w:rPr>
          <w:color w:val="000000"/>
        </w:rPr>
        <w:t xml:space="preserve"> = .16</w:t>
      </w:r>
      <w:r w:rsidRPr="00384EB0">
        <w:rPr>
          <w:color w:val="000000"/>
        </w:rPr>
        <w:t>)</w:t>
      </w:r>
      <w:r>
        <w:rPr>
          <w:color w:val="000000"/>
        </w:rPr>
        <w:t>.</w:t>
      </w:r>
      <w:r w:rsidR="006637A7">
        <w:rPr>
          <w:color w:val="000000"/>
        </w:rPr>
        <w:t xml:space="preserve"> Por su parte, la presencia del encuadre temático en las notas no varió en función del género de las mismas, detectándose por tanto el mismo nivel de tratamiento informativo temático independientemente de si las informaciones eran noticias, reportajes, breves o entrevistas, </w:t>
      </w:r>
      <w:r w:rsidR="006637A7" w:rsidRPr="002E7B19">
        <w:rPr>
          <w:i/>
        </w:rPr>
        <w:t>F</w:t>
      </w:r>
      <w:r w:rsidR="006637A7" w:rsidRPr="002E7B19">
        <w:t xml:space="preserve">(3, 1283) = 1.577, </w:t>
      </w:r>
      <w:r w:rsidR="006637A7" w:rsidRPr="002E7B19">
        <w:rPr>
          <w:i/>
        </w:rPr>
        <w:t>p</w:t>
      </w:r>
      <w:r w:rsidR="006637A7">
        <w:t xml:space="preserve"> = .193.</w:t>
      </w:r>
    </w:p>
    <w:p w:rsidR="00E404DC" w:rsidRDefault="00E404DC" w:rsidP="00384EB0">
      <w:pPr>
        <w:jc w:val="both"/>
        <w:rPr>
          <w:b/>
        </w:rPr>
      </w:pPr>
    </w:p>
    <w:p w:rsidR="002E7B19" w:rsidRPr="002E7B19" w:rsidRDefault="002E7B19" w:rsidP="002E7B19">
      <w:pPr>
        <w:autoSpaceDE w:val="0"/>
        <w:jc w:val="both"/>
        <w:rPr>
          <w:color w:val="000000"/>
          <w:lang w:val="es-MX" w:eastAsia="es-MX"/>
        </w:rPr>
      </w:pPr>
      <w:r w:rsidRPr="00384EB0">
        <w:rPr>
          <w:b/>
        </w:rPr>
        <w:t xml:space="preserve">Tabla </w:t>
      </w:r>
      <w:r>
        <w:rPr>
          <w:b/>
        </w:rPr>
        <w:t>4</w:t>
      </w:r>
      <w:r w:rsidRPr="00384EB0">
        <w:rPr>
          <w:b/>
        </w:rPr>
        <w:t xml:space="preserve">. </w:t>
      </w:r>
      <w:r w:rsidRPr="002E7B19">
        <w:t xml:space="preserve">Comparación de presencia de los encuadres </w:t>
      </w:r>
      <w:r>
        <w:t>en función del género de la información</w:t>
      </w:r>
    </w:p>
    <w:tbl>
      <w:tblPr>
        <w:tblStyle w:val="Tablaconcuadrcula"/>
        <w:tblW w:w="0" w:type="auto"/>
        <w:jc w:val="center"/>
        <w:tblInd w:w="1098" w:type="dxa"/>
        <w:tblBorders>
          <w:left w:val="none" w:sz="0" w:space="0" w:color="auto"/>
          <w:right w:val="none" w:sz="0" w:space="0" w:color="auto"/>
          <w:insideH w:val="none" w:sz="0" w:space="0" w:color="auto"/>
          <w:insideV w:val="none" w:sz="0" w:space="0" w:color="auto"/>
        </w:tblBorders>
        <w:tblLook w:val="04A0"/>
      </w:tblPr>
      <w:tblGrid>
        <w:gridCol w:w="2134"/>
        <w:gridCol w:w="1533"/>
        <w:gridCol w:w="1533"/>
        <w:gridCol w:w="1533"/>
        <w:gridCol w:w="1533"/>
      </w:tblGrid>
      <w:tr w:rsidR="002E7B19" w:rsidRPr="002E7B19" w:rsidTr="006637A7">
        <w:trPr>
          <w:trHeight w:val="320"/>
          <w:jc w:val="center"/>
        </w:trPr>
        <w:tc>
          <w:tcPr>
            <w:tcW w:w="2134" w:type="dxa"/>
            <w:vMerge w:val="restart"/>
            <w:tcBorders>
              <w:top w:val="single" w:sz="4" w:space="0" w:color="auto"/>
            </w:tcBorders>
            <w:vAlign w:val="center"/>
          </w:tcPr>
          <w:p w:rsidR="002E7B19" w:rsidRPr="002E7B19" w:rsidRDefault="002E7B19" w:rsidP="006637A7">
            <w:pPr>
              <w:spacing w:line="360" w:lineRule="auto"/>
              <w:jc w:val="center"/>
              <w:rPr>
                <w:sz w:val="24"/>
                <w:szCs w:val="24"/>
              </w:rPr>
            </w:pPr>
          </w:p>
        </w:tc>
        <w:tc>
          <w:tcPr>
            <w:tcW w:w="6132" w:type="dxa"/>
            <w:gridSpan w:val="4"/>
            <w:tcBorders>
              <w:top w:val="single" w:sz="4" w:space="0" w:color="auto"/>
              <w:bottom w:val="single" w:sz="4" w:space="0" w:color="auto"/>
            </w:tcBorders>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2E7B19">
              <w:rPr>
                <w:color w:val="000000"/>
                <w:sz w:val="24"/>
                <w:szCs w:val="24"/>
              </w:rPr>
              <w:t>Género de la información</w:t>
            </w:r>
          </w:p>
        </w:tc>
      </w:tr>
      <w:tr w:rsidR="002E7B19" w:rsidRPr="002E7B19" w:rsidTr="006637A7">
        <w:trPr>
          <w:trHeight w:val="320"/>
          <w:jc w:val="center"/>
        </w:trPr>
        <w:tc>
          <w:tcPr>
            <w:tcW w:w="2134" w:type="dxa"/>
            <w:vMerge/>
            <w:tcBorders>
              <w:bottom w:val="single" w:sz="4" w:space="0" w:color="auto"/>
            </w:tcBorders>
            <w:vAlign w:val="center"/>
          </w:tcPr>
          <w:p w:rsidR="002E7B19" w:rsidRPr="002E7B19" w:rsidRDefault="002E7B19" w:rsidP="006637A7">
            <w:pPr>
              <w:spacing w:line="360" w:lineRule="auto"/>
              <w:jc w:val="center"/>
              <w:rPr>
                <w:sz w:val="24"/>
                <w:szCs w:val="24"/>
              </w:rPr>
            </w:pPr>
          </w:p>
        </w:tc>
        <w:tc>
          <w:tcPr>
            <w:tcW w:w="1533" w:type="dxa"/>
            <w:tcBorders>
              <w:top w:val="single" w:sz="4" w:space="0" w:color="auto"/>
              <w:bottom w:val="single" w:sz="4" w:space="0" w:color="auto"/>
            </w:tcBorders>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Noticia</w:t>
            </w:r>
          </w:p>
        </w:tc>
        <w:tc>
          <w:tcPr>
            <w:tcW w:w="1533" w:type="dxa"/>
            <w:tcBorders>
              <w:top w:val="single" w:sz="4" w:space="0" w:color="auto"/>
              <w:bottom w:val="single" w:sz="4" w:space="0" w:color="auto"/>
            </w:tcBorders>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Reportaje</w:t>
            </w:r>
          </w:p>
        </w:tc>
        <w:tc>
          <w:tcPr>
            <w:tcW w:w="1533" w:type="dxa"/>
            <w:tcBorders>
              <w:top w:val="single" w:sz="4" w:space="0" w:color="auto"/>
              <w:bottom w:val="single" w:sz="4" w:space="0" w:color="auto"/>
            </w:tcBorders>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Breve</w:t>
            </w:r>
          </w:p>
        </w:tc>
        <w:tc>
          <w:tcPr>
            <w:tcW w:w="1533" w:type="dxa"/>
            <w:tcBorders>
              <w:top w:val="single" w:sz="4" w:space="0" w:color="auto"/>
              <w:bottom w:val="single" w:sz="4" w:space="0" w:color="auto"/>
            </w:tcBorders>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Entrevista</w:t>
            </w:r>
          </w:p>
        </w:tc>
      </w:tr>
      <w:tr w:rsidR="002E7B19" w:rsidRPr="002E7B19" w:rsidTr="006637A7">
        <w:trPr>
          <w:trHeight w:val="320"/>
          <w:jc w:val="center"/>
        </w:trPr>
        <w:tc>
          <w:tcPr>
            <w:tcW w:w="2134" w:type="dxa"/>
            <w:tcBorders>
              <w:top w:val="single" w:sz="4" w:space="0" w:color="auto"/>
            </w:tcBorders>
            <w:shd w:val="clear" w:color="auto" w:fill="auto"/>
            <w:vAlign w:val="center"/>
          </w:tcPr>
          <w:p w:rsidR="002E7B19" w:rsidRPr="006637A7" w:rsidRDefault="002E7B19" w:rsidP="006637A7">
            <w:pPr>
              <w:spacing w:line="360" w:lineRule="auto"/>
              <w:rPr>
                <w:sz w:val="24"/>
                <w:szCs w:val="24"/>
              </w:rPr>
            </w:pPr>
            <w:proofErr w:type="spellStart"/>
            <w:r w:rsidRPr="006637A7">
              <w:rPr>
                <w:color w:val="000000"/>
                <w:sz w:val="24"/>
                <w:szCs w:val="24"/>
              </w:rPr>
              <w:t>Frame</w:t>
            </w:r>
            <w:proofErr w:type="spellEnd"/>
            <w:r w:rsidRPr="006637A7">
              <w:rPr>
                <w:color w:val="000000"/>
                <w:sz w:val="24"/>
                <w:szCs w:val="24"/>
              </w:rPr>
              <w:t xml:space="preserve"> estratégico</w:t>
            </w:r>
          </w:p>
        </w:tc>
        <w:tc>
          <w:tcPr>
            <w:tcW w:w="1533" w:type="dxa"/>
            <w:tcBorders>
              <w:top w:val="single" w:sz="4" w:space="0" w:color="auto"/>
            </w:tcBorders>
            <w:shd w:val="clear" w:color="auto" w:fill="auto"/>
            <w:vAlign w:val="center"/>
          </w:tcPr>
          <w:p w:rsidR="002E7B19" w:rsidRPr="006637A7" w:rsidRDefault="002E7B19" w:rsidP="006637A7">
            <w:pPr>
              <w:autoSpaceDE w:val="0"/>
              <w:autoSpaceDN w:val="0"/>
              <w:adjustRightInd w:val="0"/>
              <w:spacing w:line="360" w:lineRule="auto"/>
              <w:ind w:left="60" w:right="60"/>
              <w:jc w:val="center"/>
              <w:rPr>
                <w:color w:val="000000"/>
                <w:sz w:val="24"/>
                <w:szCs w:val="24"/>
              </w:rPr>
            </w:pPr>
            <w:r w:rsidRPr="006637A7">
              <w:rPr>
                <w:color w:val="000000"/>
                <w:sz w:val="24"/>
                <w:szCs w:val="24"/>
              </w:rPr>
              <w:t>.45 (.23)***</w:t>
            </w:r>
          </w:p>
        </w:tc>
        <w:tc>
          <w:tcPr>
            <w:tcW w:w="1533" w:type="dxa"/>
            <w:tcBorders>
              <w:top w:val="single" w:sz="4" w:space="0" w:color="auto"/>
            </w:tcBorders>
            <w:shd w:val="clear" w:color="auto" w:fill="auto"/>
            <w:vAlign w:val="center"/>
          </w:tcPr>
          <w:p w:rsidR="002E7B19" w:rsidRPr="006637A7" w:rsidRDefault="002E7B19" w:rsidP="006637A7">
            <w:pPr>
              <w:autoSpaceDE w:val="0"/>
              <w:autoSpaceDN w:val="0"/>
              <w:adjustRightInd w:val="0"/>
              <w:spacing w:line="360" w:lineRule="auto"/>
              <w:ind w:left="60" w:right="60"/>
              <w:jc w:val="center"/>
              <w:rPr>
                <w:color w:val="000000"/>
                <w:sz w:val="24"/>
                <w:szCs w:val="24"/>
              </w:rPr>
            </w:pPr>
            <w:r w:rsidRPr="006637A7">
              <w:rPr>
                <w:color w:val="000000"/>
                <w:sz w:val="24"/>
                <w:szCs w:val="24"/>
              </w:rPr>
              <w:t>.41 (.19)***</w:t>
            </w:r>
          </w:p>
        </w:tc>
        <w:tc>
          <w:tcPr>
            <w:tcW w:w="1533" w:type="dxa"/>
            <w:tcBorders>
              <w:top w:val="single" w:sz="4" w:space="0" w:color="auto"/>
            </w:tcBorders>
            <w:shd w:val="clear" w:color="auto" w:fill="auto"/>
            <w:vAlign w:val="center"/>
          </w:tcPr>
          <w:p w:rsidR="002E7B19" w:rsidRPr="006637A7" w:rsidRDefault="002E7B19" w:rsidP="006637A7">
            <w:pPr>
              <w:autoSpaceDE w:val="0"/>
              <w:autoSpaceDN w:val="0"/>
              <w:adjustRightInd w:val="0"/>
              <w:spacing w:line="360" w:lineRule="auto"/>
              <w:ind w:left="60" w:right="60"/>
              <w:jc w:val="center"/>
              <w:rPr>
                <w:color w:val="000000"/>
                <w:sz w:val="24"/>
                <w:szCs w:val="24"/>
              </w:rPr>
            </w:pPr>
            <w:r w:rsidRPr="006637A7">
              <w:rPr>
                <w:color w:val="000000"/>
                <w:sz w:val="24"/>
                <w:szCs w:val="24"/>
              </w:rPr>
              <w:t>.32 (.16)***</w:t>
            </w:r>
          </w:p>
        </w:tc>
        <w:tc>
          <w:tcPr>
            <w:tcW w:w="1533" w:type="dxa"/>
            <w:tcBorders>
              <w:top w:val="single" w:sz="4" w:space="0" w:color="auto"/>
            </w:tcBorders>
            <w:shd w:val="clear" w:color="auto" w:fill="auto"/>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6637A7">
              <w:rPr>
                <w:color w:val="000000"/>
                <w:sz w:val="24"/>
                <w:szCs w:val="24"/>
              </w:rPr>
              <w:t>.46 (.29)***</w:t>
            </w:r>
          </w:p>
        </w:tc>
      </w:tr>
      <w:tr w:rsidR="002E7B19" w:rsidRPr="002E7B19" w:rsidTr="006637A7">
        <w:trPr>
          <w:trHeight w:val="320"/>
          <w:jc w:val="center"/>
        </w:trPr>
        <w:tc>
          <w:tcPr>
            <w:tcW w:w="2134" w:type="dxa"/>
            <w:vAlign w:val="center"/>
          </w:tcPr>
          <w:p w:rsidR="002E7B19" w:rsidRPr="002E7B19" w:rsidRDefault="002E7B19" w:rsidP="006637A7">
            <w:pPr>
              <w:spacing w:line="360" w:lineRule="auto"/>
              <w:rPr>
                <w:sz w:val="24"/>
                <w:szCs w:val="24"/>
              </w:rPr>
            </w:pPr>
            <w:proofErr w:type="spellStart"/>
            <w:r w:rsidRPr="00DE7009">
              <w:rPr>
                <w:color w:val="000000"/>
                <w:sz w:val="24"/>
                <w:szCs w:val="24"/>
              </w:rPr>
              <w:t>Frame</w:t>
            </w:r>
            <w:proofErr w:type="spellEnd"/>
            <w:r w:rsidRPr="00DE7009">
              <w:rPr>
                <w:color w:val="000000"/>
                <w:sz w:val="24"/>
                <w:szCs w:val="24"/>
              </w:rPr>
              <w:t xml:space="preserve"> temático</w:t>
            </w:r>
          </w:p>
        </w:tc>
        <w:tc>
          <w:tcPr>
            <w:tcW w:w="1533" w:type="dxa"/>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.22</w:t>
            </w:r>
            <w:r w:rsidRPr="002E7B19">
              <w:rPr>
                <w:color w:val="000000"/>
                <w:sz w:val="24"/>
                <w:szCs w:val="24"/>
              </w:rPr>
              <w:t xml:space="preserve"> (</w:t>
            </w:r>
            <w:r w:rsidRPr="00DE7009">
              <w:rPr>
                <w:color w:val="000000"/>
                <w:sz w:val="24"/>
                <w:szCs w:val="24"/>
              </w:rPr>
              <w:t>.22</w:t>
            </w:r>
            <w:r w:rsidRPr="002E7B19">
              <w:rPr>
                <w:color w:val="000000"/>
                <w:sz w:val="24"/>
                <w:szCs w:val="24"/>
              </w:rPr>
              <w:t>)</w:t>
            </w:r>
          </w:p>
        </w:tc>
        <w:tc>
          <w:tcPr>
            <w:tcW w:w="1533" w:type="dxa"/>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.18</w:t>
            </w:r>
            <w:r w:rsidRPr="002E7B19">
              <w:rPr>
                <w:color w:val="000000"/>
                <w:sz w:val="24"/>
                <w:szCs w:val="24"/>
              </w:rPr>
              <w:t xml:space="preserve"> (</w:t>
            </w:r>
            <w:r w:rsidRPr="00DE7009">
              <w:rPr>
                <w:color w:val="000000"/>
                <w:sz w:val="24"/>
                <w:szCs w:val="24"/>
              </w:rPr>
              <w:t>.22</w:t>
            </w:r>
            <w:r w:rsidRPr="002E7B19">
              <w:rPr>
                <w:color w:val="000000"/>
                <w:sz w:val="24"/>
                <w:szCs w:val="24"/>
              </w:rPr>
              <w:t>)</w:t>
            </w:r>
          </w:p>
        </w:tc>
        <w:tc>
          <w:tcPr>
            <w:tcW w:w="1533" w:type="dxa"/>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.20</w:t>
            </w:r>
            <w:r w:rsidRPr="002E7B19">
              <w:rPr>
                <w:color w:val="000000"/>
                <w:sz w:val="24"/>
                <w:szCs w:val="24"/>
              </w:rPr>
              <w:t xml:space="preserve"> (</w:t>
            </w:r>
            <w:r w:rsidRPr="00DE7009">
              <w:rPr>
                <w:color w:val="000000"/>
                <w:sz w:val="24"/>
                <w:szCs w:val="24"/>
              </w:rPr>
              <w:t>.21</w:t>
            </w:r>
            <w:r w:rsidRPr="002E7B19">
              <w:rPr>
                <w:color w:val="000000"/>
                <w:sz w:val="24"/>
                <w:szCs w:val="24"/>
              </w:rPr>
              <w:t>)</w:t>
            </w:r>
          </w:p>
        </w:tc>
        <w:tc>
          <w:tcPr>
            <w:tcW w:w="1533" w:type="dxa"/>
            <w:vAlign w:val="center"/>
          </w:tcPr>
          <w:p w:rsidR="002E7B19" w:rsidRPr="00DE7009" w:rsidRDefault="002E7B19" w:rsidP="006637A7">
            <w:pPr>
              <w:autoSpaceDE w:val="0"/>
              <w:autoSpaceDN w:val="0"/>
              <w:adjustRightInd w:val="0"/>
              <w:spacing w:line="360" w:lineRule="auto"/>
              <w:ind w:left="60" w:right="60"/>
              <w:jc w:val="center"/>
              <w:rPr>
                <w:color w:val="000000"/>
                <w:sz w:val="24"/>
                <w:szCs w:val="24"/>
              </w:rPr>
            </w:pPr>
            <w:r w:rsidRPr="00DE7009">
              <w:rPr>
                <w:color w:val="000000"/>
                <w:sz w:val="24"/>
                <w:szCs w:val="24"/>
              </w:rPr>
              <w:t>.24</w:t>
            </w:r>
            <w:r w:rsidRPr="002E7B19">
              <w:rPr>
                <w:color w:val="000000"/>
                <w:sz w:val="24"/>
                <w:szCs w:val="24"/>
              </w:rPr>
              <w:t xml:space="preserve"> (</w:t>
            </w:r>
            <w:r w:rsidRPr="00DE7009">
              <w:rPr>
                <w:color w:val="000000"/>
                <w:sz w:val="24"/>
                <w:szCs w:val="24"/>
              </w:rPr>
              <w:t>.24</w:t>
            </w:r>
            <w:r w:rsidRPr="002E7B19">
              <w:rPr>
                <w:color w:val="000000"/>
                <w:sz w:val="24"/>
                <w:szCs w:val="24"/>
              </w:rPr>
              <w:t>)</w:t>
            </w:r>
          </w:p>
        </w:tc>
      </w:tr>
    </w:tbl>
    <w:p w:rsidR="002E7B19" w:rsidRPr="00384EB0" w:rsidRDefault="002E7B19" w:rsidP="002E7B19">
      <w:pPr>
        <w:autoSpaceDE w:val="0"/>
        <w:jc w:val="both"/>
        <w:rPr>
          <w:sz w:val="20"/>
          <w:szCs w:val="20"/>
        </w:rPr>
      </w:pPr>
      <w:r w:rsidRPr="00384EB0">
        <w:rPr>
          <w:i/>
          <w:sz w:val="20"/>
          <w:szCs w:val="20"/>
        </w:rPr>
        <w:t>Nota:</w:t>
      </w:r>
      <w:r w:rsidRPr="00384EB0">
        <w:rPr>
          <w:sz w:val="20"/>
          <w:szCs w:val="20"/>
        </w:rPr>
        <w:t xml:space="preserve"> </w:t>
      </w:r>
      <w:r w:rsidRPr="00384EB0">
        <w:rPr>
          <w:i/>
          <w:sz w:val="20"/>
          <w:szCs w:val="20"/>
        </w:rPr>
        <w:t>N</w:t>
      </w:r>
      <w:r w:rsidRPr="00384EB0">
        <w:rPr>
          <w:sz w:val="20"/>
          <w:szCs w:val="20"/>
        </w:rPr>
        <w:t xml:space="preserve"> = 1287. Todos los encuadres tenían un rango de variación de 0 (Nada presente) a 1 (Muy presente). Las diferencias son significativas a nivel ***</w:t>
      </w:r>
      <w:r w:rsidRPr="00384EB0">
        <w:rPr>
          <w:i/>
          <w:sz w:val="20"/>
          <w:szCs w:val="20"/>
        </w:rPr>
        <w:t>p</w:t>
      </w:r>
      <w:r w:rsidRPr="00384EB0">
        <w:rPr>
          <w:sz w:val="20"/>
          <w:szCs w:val="20"/>
        </w:rPr>
        <w:t xml:space="preserve"> &lt; .001</w:t>
      </w:r>
    </w:p>
    <w:p w:rsidR="002E7B19" w:rsidRDefault="002E7B19" w:rsidP="002E7B19">
      <w:pPr>
        <w:rPr>
          <w:i/>
        </w:rPr>
      </w:pPr>
    </w:p>
    <w:p w:rsidR="006637A7" w:rsidRPr="006637A7" w:rsidRDefault="006637A7" w:rsidP="004C1CD2">
      <w:pPr>
        <w:jc w:val="both"/>
      </w:pPr>
      <w:r>
        <w:rPr>
          <w:lang w:val="es-MX"/>
        </w:rPr>
        <w:lastRenderedPageBreak/>
        <w:tab/>
        <w:t>Finalmente, también se estudiaron las posibles diferencias del uso de cada encuadre en función de las diferentes etapas por las que transcurrió la campaña electoral</w:t>
      </w:r>
      <w:r w:rsidR="004C1CD2">
        <w:rPr>
          <w:lang w:val="es-MX"/>
        </w:rPr>
        <w:t xml:space="preserve"> </w:t>
      </w:r>
      <w:r w:rsidR="004C1CD2" w:rsidRPr="00384EB0">
        <w:rPr>
          <w:lang w:val="es-MX"/>
        </w:rPr>
        <w:t xml:space="preserve">(Ver datos en la Tabla </w:t>
      </w:r>
      <w:r w:rsidR="004C1CD2">
        <w:rPr>
          <w:lang w:val="es-MX"/>
        </w:rPr>
        <w:t>5</w:t>
      </w:r>
      <w:r w:rsidR="004C1CD2" w:rsidRPr="00384EB0">
        <w:rPr>
          <w:lang w:val="es-MX"/>
        </w:rPr>
        <w:t>).</w:t>
      </w:r>
      <w:r>
        <w:rPr>
          <w:lang w:val="es-MX"/>
        </w:rPr>
        <w:t xml:space="preserve"> Para ello, se tomaron como puntos de corte las fechas de sendos debates electorales organizados por el Instituto Federal Electoral (IFE) en el transcurso de la campaña, estableciendo así un</w:t>
      </w:r>
      <w:r w:rsidR="004C1CD2">
        <w:rPr>
          <w:lang w:val="es-MX"/>
        </w:rPr>
        <w:t>a etapa hasta el primer debate (</w:t>
      </w:r>
      <w:r w:rsidR="004C1CD2" w:rsidRPr="004C1CD2">
        <w:rPr>
          <w:lang w:val="es-MX"/>
        </w:rPr>
        <w:t>6 de mayo</w:t>
      </w:r>
      <w:r w:rsidR="004C1CD2">
        <w:rPr>
          <w:lang w:val="es-MX"/>
        </w:rPr>
        <w:t xml:space="preserve"> de 2012), la segunda etapa hasta el segundo debate (1</w:t>
      </w:r>
      <w:r w:rsidR="004C1CD2" w:rsidRPr="004C1CD2">
        <w:rPr>
          <w:lang w:val="es-MX"/>
        </w:rPr>
        <w:t>9 de junio</w:t>
      </w:r>
      <w:r w:rsidR="004C1CD2">
        <w:rPr>
          <w:lang w:val="es-MX"/>
        </w:rPr>
        <w:t xml:space="preserve"> de 201</w:t>
      </w:r>
      <w:r w:rsidR="004C1CD2" w:rsidRPr="004C1CD2">
        <w:rPr>
          <w:lang w:val="es-MX"/>
        </w:rPr>
        <w:t>2</w:t>
      </w:r>
      <w:r w:rsidR="004C1CD2">
        <w:rPr>
          <w:lang w:val="es-MX"/>
        </w:rPr>
        <w:t xml:space="preserve">) y la tercera etapa hasta las elecciones del 1 de julio de 2012. </w:t>
      </w:r>
      <w:r w:rsidRPr="00384EB0">
        <w:rPr>
          <w:lang w:val="es-MX"/>
        </w:rPr>
        <w:t xml:space="preserve">Con respecto al uso del encuadre estratégico, </w:t>
      </w:r>
      <w:r>
        <w:rPr>
          <w:lang w:val="es-MX"/>
        </w:rPr>
        <w:t xml:space="preserve">se detectaron diferencias estadísticamente </w:t>
      </w:r>
      <w:r w:rsidR="004C1CD2">
        <w:rPr>
          <w:lang w:val="es-MX"/>
        </w:rPr>
        <w:t>santificativas</w:t>
      </w:r>
      <w:r>
        <w:rPr>
          <w:lang w:val="es-MX"/>
        </w:rPr>
        <w:t xml:space="preserve"> entre </w:t>
      </w:r>
      <w:r w:rsidR="004C1CD2">
        <w:rPr>
          <w:lang w:val="es-MX"/>
        </w:rPr>
        <w:t>las etapas de campaña</w:t>
      </w:r>
      <w:r w:rsidRPr="00384EB0">
        <w:rPr>
          <w:lang w:val="es-MX"/>
        </w:rPr>
        <w:t xml:space="preserve">, </w:t>
      </w:r>
      <w:r w:rsidR="004C1CD2" w:rsidRPr="002E7B19">
        <w:rPr>
          <w:i/>
        </w:rPr>
        <w:t>F</w:t>
      </w:r>
      <w:r w:rsidR="004C1CD2" w:rsidRPr="002E7B19">
        <w:t xml:space="preserve">(2, 1284) = 11.810, </w:t>
      </w:r>
      <w:r w:rsidR="004C1CD2" w:rsidRPr="002E7B19">
        <w:rPr>
          <w:i/>
        </w:rPr>
        <w:t>p</w:t>
      </w:r>
      <w:r w:rsidR="004C1CD2" w:rsidRPr="002E7B19">
        <w:t xml:space="preserve"> &lt; .001</w:t>
      </w:r>
      <w:r w:rsidR="004C1CD2">
        <w:t>, η</w:t>
      </w:r>
      <w:r w:rsidR="004C1CD2" w:rsidRPr="00FC7139">
        <w:rPr>
          <w:vertAlign w:val="superscript"/>
        </w:rPr>
        <w:t>2</w:t>
      </w:r>
      <w:r w:rsidR="004C1CD2">
        <w:t xml:space="preserve"> = .018</w:t>
      </w:r>
      <w:r w:rsidRPr="00384EB0">
        <w:rPr>
          <w:lang w:val="es-MX"/>
        </w:rPr>
        <w:t xml:space="preserve">. </w:t>
      </w:r>
      <w:r>
        <w:rPr>
          <w:lang w:val="es-MX"/>
        </w:rPr>
        <w:t xml:space="preserve">La prueba </w:t>
      </w:r>
      <w:r w:rsidRPr="00E404DC">
        <w:rPr>
          <w:i/>
          <w:lang w:val="es-MX"/>
        </w:rPr>
        <w:t>post-hoc</w:t>
      </w:r>
      <w:r>
        <w:rPr>
          <w:lang w:val="es-MX"/>
        </w:rPr>
        <w:t xml:space="preserve"> </w:t>
      </w:r>
      <w:r w:rsidRPr="00384EB0">
        <w:rPr>
          <w:lang w:val="es-MX"/>
        </w:rPr>
        <w:t xml:space="preserve">HD </w:t>
      </w:r>
      <w:proofErr w:type="spellStart"/>
      <w:r w:rsidRPr="00384EB0">
        <w:rPr>
          <w:lang w:val="es-MX"/>
        </w:rPr>
        <w:t>Tukey</w:t>
      </w:r>
      <w:proofErr w:type="spellEnd"/>
      <w:r w:rsidRPr="00384EB0">
        <w:rPr>
          <w:lang w:val="es-MX"/>
        </w:rPr>
        <w:t xml:space="preserve"> </w:t>
      </w:r>
      <w:r>
        <w:rPr>
          <w:lang w:val="es-MX"/>
        </w:rPr>
        <w:t xml:space="preserve">realizada reveló </w:t>
      </w:r>
      <w:r w:rsidR="004C1CD2">
        <w:rPr>
          <w:lang w:val="es-MX"/>
        </w:rPr>
        <w:t>que su presencia dominó en la última etapa de la campaña</w:t>
      </w:r>
      <w:r>
        <w:rPr>
          <w:lang w:val="es-MX"/>
        </w:rPr>
        <w:t xml:space="preserve"> </w:t>
      </w:r>
      <w:r w:rsidRPr="00384EB0">
        <w:rPr>
          <w:lang w:val="es-MX"/>
        </w:rPr>
        <w:t>(</w:t>
      </w:r>
      <w:r w:rsidRPr="00384EB0">
        <w:rPr>
          <w:i/>
          <w:lang w:val="es-MX"/>
        </w:rPr>
        <w:t>M</w:t>
      </w:r>
      <w:r w:rsidRPr="00384EB0">
        <w:rPr>
          <w:lang w:val="es-MX"/>
        </w:rPr>
        <w:t xml:space="preserve"> = </w:t>
      </w:r>
      <w:r w:rsidRPr="00384EB0">
        <w:rPr>
          <w:color w:val="000000"/>
        </w:rPr>
        <w:t>.</w:t>
      </w:r>
      <w:r>
        <w:rPr>
          <w:color w:val="000000"/>
        </w:rPr>
        <w:t>4</w:t>
      </w:r>
      <w:r w:rsidR="004C1CD2">
        <w:rPr>
          <w:color w:val="000000"/>
        </w:rPr>
        <w:t>7</w:t>
      </w:r>
      <w:r w:rsidRPr="00384EB0">
        <w:rPr>
          <w:color w:val="000000"/>
        </w:rPr>
        <w:t xml:space="preserve">, </w:t>
      </w:r>
      <w:r w:rsidRPr="00384EB0">
        <w:rPr>
          <w:i/>
          <w:color w:val="000000"/>
        </w:rPr>
        <w:t>DE</w:t>
      </w:r>
      <w:r w:rsidRPr="00384EB0">
        <w:rPr>
          <w:color w:val="000000"/>
        </w:rPr>
        <w:t xml:space="preserve"> = .2</w:t>
      </w:r>
      <w:r>
        <w:rPr>
          <w:color w:val="000000"/>
        </w:rPr>
        <w:t>3</w:t>
      </w:r>
      <w:r w:rsidRPr="00384EB0">
        <w:rPr>
          <w:color w:val="000000"/>
        </w:rPr>
        <w:t>)</w:t>
      </w:r>
      <w:r w:rsidR="004C1CD2">
        <w:rPr>
          <w:color w:val="000000"/>
        </w:rPr>
        <w:t>, con una fuerte presencia en la primera etapa (</w:t>
      </w:r>
      <w:r w:rsidR="004C1CD2" w:rsidRPr="00384EB0">
        <w:rPr>
          <w:i/>
          <w:lang w:val="es-MX"/>
        </w:rPr>
        <w:t>M</w:t>
      </w:r>
      <w:r w:rsidR="004C1CD2" w:rsidRPr="00384EB0">
        <w:rPr>
          <w:lang w:val="es-MX"/>
        </w:rPr>
        <w:t xml:space="preserve"> = </w:t>
      </w:r>
      <w:r w:rsidR="004C1CD2" w:rsidRPr="00384EB0">
        <w:rPr>
          <w:color w:val="000000"/>
        </w:rPr>
        <w:t>.</w:t>
      </w:r>
      <w:r w:rsidR="004C1CD2">
        <w:rPr>
          <w:color w:val="000000"/>
        </w:rPr>
        <w:t>45</w:t>
      </w:r>
      <w:r w:rsidR="004C1CD2" w:rsidRPr="00384EB0">
        <w:rPr>
          <w:color w:val="000000"/>
        </w:rPr>
        <w:t xml:space="preserve">, </w:t>
      </w:r>
      <w:r w:rsidR="004C1CD2" w:rsidRPr="00384EB0">
        <w:rPr>
          <w:i/>
          <w:color w:val="000000"/>
        </w:rPr>
        <w:t>DE</w:t>
      </w:r>
      <w:r w:rsidR="004C1CD2" w:rsidRPr="00384EB0">
        <w:rPr>
          <w:color w:val="000000"/>
        </w:rPr>
        <w:t xml:space="preserve"> = .2</w:t>
      </w:r>
      <w:r w:rsidR="004C1CD2">
        <w:rPr>
          <w:color w:val="000000"/>
        </w:rPr>
        <w:t>2</w:t>
      </w:r>
      <w:r w:rsidR="004C1CD2" w:rsidRPr="00384EB0">
        <w:rPr>
          <w:color w:val="000000"/>
        </w:rPr>
        <w:t>)</w:t>
      </w:r>
      <w:r w:rsidR="004C1CD2">
        <w:rPr>
          <w:color w:val="000000"/>
        </w:rPr>
        <w:t xml:space="preserve"> pero que con todo fue inferior. Las notas en que menos presente estuvo el encuadre noticioso fueron las generadas en la segunda etapa entre debates (</w:t>
      </w:r>
      <w:r w:rsidR="004C1CD2" w:rsidRPr="00384EB0">
        <w:rPr>
          <w:i/>
          <w:lang w:val="es-MX"/>
        </w:rPr>
        <w:t>M</w:t>
      </w:r>
      <w:r w:rsidR="004C1CD2" w:rsidRPr="00384EB0">
        <w:rPr>
          <w:lang w:val="es-MX"/>
        </w:rPr>
        <w:t xml:space="preserve"> = </w:t>
      </w:r>
      <w:r w:rsidR="004C1CD2" w:rsidRPr="00384EB0">
        <w:rPr>
          <w:color w:val="000000"/>
        </w:rPr>
        <w:t>.</w:t>
      </w:r>
      <w:r w:rsidR="004C1CD2">
        <w:rPr>
          <w:color w:val="000000"/>
        </w:rPr>
        <w:t>40</w:t>
      </w:r>
      <w:r w:rsidR="004C1CD2" w:rsidRPr="00384EB0">
        <w:rPr>
          <w:color w:val="000000"/>
        </w:rPr>
        <w:t xml:space="preserve">, </w:t>
      </w:r>
      <w:r w:rsidR="004C1CD2" w:rsidRPr="00384EB0">
        <w:rPr>
          <w:i/>
          <w:color w:val="000000"/>
        </w:rPr>
        <w:t>DE</w:t>
      </w:r>
      <w:r w:rsidR="004C1CD2" w:rsidRPr="00384EB0">
        <w:rPr>
          <w:color w:val="000000"/>
        </w:rPr>
        <w:t xml:space="preserve"> = .2</w:t>
      </w:r>
      <w:r w:rsidR="004C1CD2">
        <w:rPr>
          <w:color w:val="000000"/>
        </w:rPr>
        <w:t>2</w:t>
      </w:r>
      <w:r w:rsidR="004C1CD2" w:rsidRPr="00384EB0">
        <w:rPr>
          <w:color w:val="000000"/>
        </w:rPr>
        <w:t>)</w:t>
      </w:r>
      <w:r w:rsidR="004C1CD2">
        <w:rPr>
          <w:color w:val="000000"/>
        </w:rPr>
        <w:t xml:space="preserve">. </w:t>
      </w:r>
      <w:r>
        <w:rPr>
          <w:color w:val="000000"/>
        </w:rPr>
        <w:t xml:space="preserve">Por su parte, la presencia del encuadre temático en las notas </w:t>
      </w:r>
      <w:r w:rsidR="004C1CD2">
        <w:rPr>
          <w:color w:val="000000"/>
        </w:rPr>
        <w:t xml:space="preserve">también varió entre las tres etapas de la campaña, </w:t>
      </w:r>
      <w:r w:rsidR="004C1CD2" w:rsidRPr="002E7B19">
        <w:rPr>
          <w:i/>
        </w:rPr>
        <w:t>F</w:t>
      </w:r>
      <w:r w:rsidR="004C1CD2" w:rsidRPr="002E7B19">
        <w:t>(2, 1284) = 8.765, p &lt; .001</w:t>
      </w:r>
      <w:r w:rsidR="004C1CD2">
        <w:t>, η</w:t>
      </w:r>
      <w:r w:rsidR="004C1CD2" w:rsidRPr="00FC7139">
        <w:rPr>
          <w:vertAlign w:val="superscript"/>
        </w:rPr>
        <w:t>2</w:t>
      </w:r>
      <w:r w:rsidR="004C1CD2">
        <w:t xml:space="preserve"> = .013</w:t>
      </w:r>
      <w:r>
        <w:t>.</w:t>
      </w:r>
      <w:r w:rsidR="004C1CD2">
        <w:t xml:space="preserve"> Se observa gracias a la prueba post-hoc realizada que su uso disminuyó, estando más presente en la primera etapa </w:t>
      </w:r>
      <w:r w:rsidR="004C1CD2">
        <w:rPr>
          <w:color w:val="000000"/>
        </w:rPr>
        <w:t>(</w:t>
      </w:r>
      <w:r w:rsidR="004C1CD2" w:rsidRPr="00384EB0">
        <w:rPr>
          <w:i/>
          <w:lang w:val="es-MX"/>
        </w:rPr>
        <w:t>M</w:t>
      </w:r>
      <w:r w:rsidR="004C1CD2" w:rsidRPr="00384EB0">
        <w:rPr>
          <w:lang w:val="es-MX"/>
        </w:rPr>
        <w:t xml:space="preserve"> = </w:t>
      </w:r>
      <w:r w:rsidR="004C1CD2" w:rsidRPr="00384EB0">
        <w:rPr>
          <w:color w:val="000000"/>
        </w:rPr>
        <w:t>.</w:t>
      </w:r>
      <w:r w:rsidR="004C1CD2">
        <w:rPr>
          <w:color w:val="000000"/>
        </w:rPr>
        <w:t>24</w:t>
      </w:r>
      <w:r w:rsidR="004C1CD2" w:rsidRPr="00384EB0">
        <w:rPr>
          <w:color w:val="000000"/>
        </w:rPr>
        <w:t xml:space="preserve">, </w:t>
      </w:r>
      <w:r w:rsidR="004C1CD2" w:rsidRPr="00384EB0">
        <w:rPr>
          <w:i/>
          <w:color w:val="000000"/>
        </w:rPr>
        <w:t>DE</w:t>
      </w:r>
      <w:r w:rsidR="004C1CD2" w:rsidRPr="00384EB0">
        <w:rPr>
          <w:color w:val="000000"/>
        </w:rPr>
        <w:t xml:space="preserve"> = .2</w:t>
      </w:r>
      <w:r w:rsidR="004C1CD2">
        <w:rPr>
          <w:color w:val="000000"/>
        </w:rPr>
        <w:t>1</w:t>
      </w:r>
      <w:r w:rsidR="004C1CD2" w:rsidRPr="00384EB0">
        <w:rPr>
          <w:color w:val="000000"/>
        </w:rPr>
        <w:t>)</w:t>
      </w:r>
      <w:r w:rsidR="004C1CD2">
        <w:rPr>
          <w:color w:val="000000"/>
        </w:rPr>
        <w:t>, intermedio en la segunda etapa (</w:t>
      </w:r>
      <w:r w:rsidR="004C1CD2" w:rsidRPr="00384EB0">
        <w:rPr>
          <w:i/>
          <w:lang w:val="es-MX"/>
        </w:rPr>
        <w:t>M</w:t>
      </w:r>
      <w:r w:rsidR="004C1CD2" w:rsidRPr="00384EB0">
        <w:rPr>
          <w:lang w:val="es-MX"/>
        </w:rPr>
        <w:t xml:space="preserve"> = </w:t>
      </w:r>
      <w:r w:rsidR="004C1CD2" w:rsidRPr="00384EB0">
        <w:rPr>
          <w:color w:val="000000"/>
        </w:rPr>
        <w:t>.</w:t>
      </w:r>
      <w:r w:rsidR="004C1CD2">
        <w:rPr>
          <w:color w:val="000000"/>
        </w:rPr>
        <w:t>20</w:t>
      </w:r>
      <w:r w:rsidR="004C1CD2" w:rsidRPr="00384EB0">
        <w:rPr>
          <w:color w:val="000000"/>
        </w:rPr>
        <w:t xml:space="preserve">, </w:t>
      </w:r>
      <w:r w:rsidR="004C1CD2" w:rsidRPr="00384EB0">
        <w:rPr>
          <w:i/>
          <w:color w:val="000000"/>
        </w:rPr>
        <w:t>DE</w:t>
      </w:r>
      <w:r w:rsidR="004C1CD2" w:rsidRPr="00384EB0">
        <w:rPr>
          <w:color w:val="000000"/>
        </w:rPr>
        <w:t xml:space="preserve"> = .2</w:t>
      </w:r>
      <w:r w:rsidR="004C1CD2">
        <w:rPr>
          <w:color w:val="000000"/>
        </w:rPr>
        <w:t>2</w:t>
      </w:r>
      <w:r w:rsidR="004C1CD2" w:rsidRPr="00384EB0">
        <w:rPr>
          <w:color w:val="000000"/>
        </w:rPr>
        <w:t>)</w:t>
      </w:r>
      <w:r w:rsidR="004C1CD2">
        <w:rPr>
          <w:color w:val="000000"/>
        </w:rPr>
        <w:t xml:space="preserve"> y menos presente en la tercera (</w:t>
      </w:r>
      <w:r w:rsidR="004C1CD2" w:rsidRPr="00384EB0">
        <w:rPr>
          <w:i/>
          <w:lang w:val="es-MX"/>
        </w:rPr>
        <w:t>M</w:t>
      </w:r>
      <w:r w:rsidR="004C1CD2" w:rsidRPr="00384EB0">
        <w:rPr>
          <w:lang w:val="es-MX"/>
        </w:rPr>
        <w:t xml:space="preserve"> = </w:t>
      </w:r>
      <w:r w:rsidR="004C1CD2" w:rsidRPr="00384EB0">
        <w:rPr>
          <w:color w:val="000000"/>
        </w:rPr>
        <w:t>.</w:t>
      </w:r>
      <w:r w:rsidR="004C1CD2">
        <w:rPr>
          <w:color w:val="000000"/>
        </w:rPr>
        <w:t>19</w:t>
      </w:r>
      <w:r w:rsidR="004C1CD2" w:rsidRPr="00384EB0">
        <w:rPr>
          <w:color w:val="000000"/>
        </w:rPr>
        <w:t xml:space="preserve">, </w:t>
      </w:r>
      <w:r w:rsidR="004C1CD2" w:rsidRPr="00384EB0">
        <w:rPr>
          <w:i/>
          <w:color w:val="000000"/>
        </w:rPr>
        <w:t>DE</w:t>
      </w:r>
      <w:r w:rsidR="004C1CD2" w:rsidRPr="00384EB0">
        <w:rPr>
          <w:color w:val="000000"/>
        </w:rPr>
        <w:t xml:space="preserve"> = .2</w:t>
      </w:r>
      <w:r w:rsidR="004C1CD2">
        <w:rPr>
          <w:color w:val="000000"/>
        </w:rPr>
        <w:t>3</w:t>
      </w:r>
      <w:r w:rsidR="004C1CD2" w:rsidRPr="00384EB0">
        <w:rPr>
          <w:color w:val="000000"/>
        </w:rPr>
        <w:t>)</w:t>
      </w:r>
      <w:r w:rsidR="004C1CD2">
        <w:rPr>
          <w:color w:val="000000"/>
        </w:rPr>
        <w:t>.</w:t>
      </w:r>
    </w:p>
    <w:p w:rsidR="002E7B19" w:rsidRPr="00DE7009" w:rsidRDefault="002E7B19" w:rsidP="002E7B19">
      <w:pPr>
        <w:autoSpaceDE w:val="0"/>
        <w:autoSpaceDN w:val="0"/>
        <w:adjustRightInd w:val="0"/>
        <w:spacing w:line="400" w:lineRule="atLeast"/>
      </w:pPr>
    </w:p>
    <w:p w:rsidR="002E7B19" w:rsidRPr="00DE7009" w:rsidRDefault="002E7B19" w:rsidP="002E7B19">
      <w:pPr>
        <w:autoSpaceDE w:val="0"/>
        <w:jc w:val="both"/>
        <w:rPr>
          <w:color w:val="000000"/>
          <w:lang w:val="es-MX" w:eastAsia="es-MX"/>
        </w:rPr>
      </w:pPr>
      <w:r w:rsidRPr="00384EB0">
        <w:rPr>
          <w:b/>
        </w:rPr>
        <w:t xml:space="preserve">Tabla </w:t>
      </w:r>
      <w:r>
        <w:rPr>
          <w:b/>
        </w:rPr>
        <w:t>5</w:t>
      </w:r>
      <w:r w:rsidRPr="00384EB0">
        <w:rPr>
          <w:b/>
        </w:rPr>
        <w:t xml:space="preserve">. </w:t>
      </w:r>
      <w:r w:rsidRPr="002E7B19">
        <w:t xml:space="preserve">Comparación de presencia de los encuadres </w:t>
      </w:r>
      <w:r>
        <w:t>en función de las etapas de campaña</w:t>
      </w:r>
    </w:p>
    <w:tbl>
      <w:tblPr>
        <w:tblStyle w:val="Tablaconcuadrcula"/>
        <w:tblW w:w="0" w:type="auto"/>
        <w:jc w:val="center"/>
        <w:tblInd w:w="882" w:type="dxa"/>
        <w:tblBorders>
          <w:left w:val="none" w:sz="0" w:space="0" w:color="auto"/>
          <w:right w:val="none" w:sz="0" w:space="0" w:color="auto"/>
          <w:insideH w:val="none" w:sz="0" w:space="0" w:color="auto"/>
          <w:insideV w:val="none" w:sz="0" w:space="0" w:color="auto"/>
        </w:tblBorders>
        <w:tblLook w:val="04A0"/>
      </w:tblPr>
      <w:tblGrid>
        <w:gridCol w:w="2350"/>
        <w:gridCol w:w="1899"/>
        <w:gridCol w:w="1900"/>
        <w:gridCol w:w="1900"/>
      </w:tblGrid>
      <w:tr w:rsidR="002E7B19" w:rsidRPr="002E7B19" w:rsidTr="00481584">
        <w:trPr>
          <w:trHeight w:val="320"/>
          <w:jc w:val="center"/>
        </w:trPr>
        <w:tc>
          <w:tcPr>
            <w:tcW w:w="2350" w:type="dxa"/>
            <w:vMerge w:val="restart"/>
            <w:tcBorders>
              <w:top w:val="single" w:sz="4" w:space="0" w:color="auto"/>
            </w:tcBorders>
            <w:shd w:val="clear" w:color="auto" w:fill="auto"/>
            <w:vAlign w:val="center"/>
          </w:tcPr>
          <w:p w:rsidR="002E7B19" w:rsidRPr="002E7B19" w:rsidRDefault="002E7B19" w:rsidP="00481584">
            <w:pPr>
              <w:spacing w:line="360" w:lineRule="auto"/>
              <w:jc w:val="center"/>
              <w:rPr>
                <w:sz w:val="24"/>
                <w:szCs w:val="24"/>
              </w:rPr>
            </w:pPr>
          </w:p>
        </w:tc>
        <w:tc>
          <w:tcPr>
            <w:tcW w:w="5699" w:type="dxa"/>
            <w:gridSpan w:val="3"/>
            <w:tcBorders>
              <w:top w:val="single" w:sz="4" w:space="0" w:color="auto"/>
              <w:bottom w:val="single" w:sz="4" w:space="0" w:color="auto"/>
            </w:tcBorders>
            <w:shd w:val="clear" w:color="auto" w:fill="auto"/>
            <w:vAlign w:val="center"/>
          </w:tcPr>
          <w:p w:rsidR="002E7B19" w:rsidRPr="002E7B19" w:rsidRDefault="002E7B19" w:rsidP="00481584">
            <w:pPr>
              <w:autoSpaceDE w:val="0"/>
              <w:autoSpaceDN w:val="0"/>
              <w:adjustRightInd w:val="0"/>
              <w:spacing w:line="360" w:lineRule="auto"/>
              <w:ind w:left="60" w:right="60"/>
              <w:jc w:val="center"/>
              <w:rPr>
                <w:color w:val="000000"/>
                <w:sz w:val="24"/>
                <w:szCs w:val="24"/>
              </w:rPr>
            </w:pPr>
            <w:r w:rsidRPr="002E7B19">
              <w:rPr>
                <w:color w:val="000000"/>
                <w:sz w:val="24"/>
                <w:szCs w:val="24"/>
              </w:rPr>
              <w:t>Etapas de campaña</w:t>
            </w:r>
          </w:p>
        </w:tc>
      </w:tr>
      <w:tr w:rsidR="002E7B19" w:rsidRPr="002E7B19" w:rsidTr="00481584">
        <w:trPr>
          <w:trHeight w:val="320"/>
          <w:jc w:val="center"/>
        </w:trPr>
        <w:tc>
          <w:tcPr>
            <w:tcW w:w="2350" w:type="dxa"/>
            <w:vMerge/>
            <w:tcBorders>
              <w:bottom w:val="single" w:sz="4" w:space="0" w:color="auto"/>
            </w:tcBorders>
            <w:shd w:val="clear" w:color="auto" w:fill="auto"/>
            <w:vAlign w:val="center"/>
          </w:tcPr>
          <w:p w:rsidR="002E7B19" w:rsidRPr="002E7B19" w:rsidRDefault="002E7B19" w:rsidP="00481584">
            <w:pPr>
              <w:spacing w:line="360" w:lineRule="auto"/>
              <w:jc w:val="center"/>
              <w:rPr>
                <w:sz w:val="24"/>
                <w:szCs w:val="24"/>
              </w:rPr>
            </w:pPr>
          </w:p>
        </w:tc>
        <w:tc>
          <w:tcPr>
            <w:tcW w:w="1899" w:type="dxa"/>
            <w:tcBorders>
              <w:top w:val="single" w:sz="4" w:space="0" w:color="auto"/>
              <w:bottom w:val="single" w:sz="4" w:space="0" w:color="auto"/>
            </w:tcBorders>
            <w:shd w:val="clear" w:color="auto" w:fill="auto"/>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Hasta el primer debate</w:t>
            </w:r>
          </w:p>
        </w:tc>
        <w:tc>
          <w:tcPr>
            <w:tcW w:w="1900" w:type="dxa"/>
            <w:tcBorders>
              <w:top w:val="single" w:sz="4" w:space="0" w:color="auto"/>
              <w:bottom w:val="single" w:sz="4" w:space="0" w:color="auto"/>
            </w:tcBorders>
            <w:shd w:val="clear" w:color="auto" w:fill="auto"/>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Hasta segundo debate</w:t>
            </w:r>
          </w:p>
        </w:tc>
        <w:tc>
          <w:tcPr>
            <w:tcW w:w="1900" w:type="dxa"/>
            <w:tcBorders>
              <w:top w:val="single" w:sz="4" w:space="0" w:color="auto"/>
              <w:bottom w:val="single" w:sz="4" w:space="0" w:color="auto"/>
            </w:tcBorders>
            <w:shd w:val="clear" w:color="auto" w:fill="auto"/>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Después de segundo debate</w:t>
            </w:r>
          </w:p>
        </w:tc>
      </w:tr>
      <w:tr w:rsidR="002E7B19" w:rsidRPr="002E7B19" w:rsidTr="00481584">
        <w:trPr>
          <w:trHeight w:val="320"/>
          <w:jc w:val="center"/>
        </w:trPr>
        <w:tc>
          <w:tcPr>
            <w:tcW w:w="2350" w:type="dxa"/>
            <w:tcBorders>
              <w:top w:val="single" w:sz="4" w:space="0" w:color="auto"/>
            </w:tcBorders>
            <w:shd w:val="clear" w:color="auto" w:fill="auto"/>
            <w:vAlign w:val="center"/>
          </w:tcPr>
          <w:p w:rsidR="002E7B19" w:rsidRPr="002E7B19" w:rsidRDefault="002E7B19" w:rsidP="00481584">
            <w:pPr>
              <w:spacing w:line="360" w:lineRule="auto"/>
              <w:rPr>
                <w:sz w:val="24"/>
                <w:szCs w:val="24"/>
              </w:rPr>
            </w:pPr>
            <w:proofErr w:type="spellStart"/>
            <w:r w:rsidRPr="00DE7009">
              <w:rPr>
                <w:color w:val="000000"/>
                <w:sz w:val="24"/>
                <w:szCs w:val="24"/>
              </w:rPr>
              <w:t>Frame</w:t>
            </w:r>
            <w:proofErr w:type="spellEnd"/>
            <w:r w:rsidRPr="00DE7009">
              <w:rPr>
                <w:color w:val="000000"/>
                <w:sz w:val="24"/>
                <w:szCs w:val="24"/>
              </w:rPr>
              <w:t xml:space="preserve"> estratégico</w:t>
            </w:r>
          </w:p>
        </w:tc>
        <w:tc>
          <w:tcPr>
            <w:tcW w:w="1899" w:type="dxa"/>
            <w:tcBorders>
              <w:top w:val="single" w:sz="4" w:space="0" w:color="auto"/>
            </w:tcBorders>
            <w:shd w:val="clear" w:color="auto" w:fill="auto"/>
            <w:vAlign w:val="center"/>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.45</w:t>
            </w:r>
            <w:r w:rsidRPr="002E7B19">
              <w:rPr>
                <w:color w:val="000000"/>
                <w:sz w:val="24"/>
                <w:szCs w:val="24"/>
              </w:rPr>
              <w:t xml:space="preserve"> (</w:t>
            </w:r>
            <w:r w:rsidRPr="00DE7009">
              <w:rPr>
                <w:color w:val="000000"/>
                <w:sz w:val="24"/>
                <w:szCs w:val="24"/>
              </w:rPr>
              <w:t>.22</w:t>
            </w:r>
            <w:r w:rsidRPr="002E7B19">
              <w:rPr>
                <w:color w:val="000000"/>
                <w:sz w:val="24"/>
                <w:szCs w:val="24"/>
              </w:rPr>
              <w:t>)***</w:t>
            </w:r>
          </w:p>
        </w:tc>
        <w:tc>
          <w:tcPr>
            <w:tcW w:w="1900" w:type="dxa"/>
            <w:tcBorders>
              <w:top w:val="single" w:sz="4" w:space="0" w:color="auto"/>
            </w:tcBorders>
            <w:shd w:val="clear" w:color="auto" w:fill="auto"/>
            <w:vAlign w:val="center"/>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.40</w:t>
            </w:r>
            <w:r w:rsidRPr="002E7B19">
              <w:rPr>
                <w:color w:val="000000"/>
                <w:sz w:val="24"/>
                <w:szCs w:val="24"/>
              </w:rPr>
              <w:t xml:space="preserve"> (</w:t>
            </w:r>
            <w:r w:rsidRPr="00DE7009">
              <w:rPr>
                <w:color w:val="000000"/>
                <w:sz w:val="24"/>
                <w:szCs w:val="24"/>
              </w:rPr>
              <w:t>.22</w:t>
            </w:r>
            <w:r w:rsidRPr="002E7B19">
              <w:rPr>
                <w:color w:val="000000"/>
                <w:sz w:val="24"/>
                <w:szCs w:val="24"/>
              </w:rPr>
              <w:t>)***</w:t>
            </w:r>
          </w:p>
        </w:tc>
        <w:tc>
          <w:tcPr>
            <w:tcW w:w="1900" w:type="dxa"/>
            <w:tcBorders>
              <w:top w:val="single" w:sz="4" w:space="0" w:color="auto"/>
            </w:tcBorders>
            <w:shd w:val="clear" w:color="auto" w:fill="auto"/>
            <w:vAlign w:val="center"/>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.47</w:t>
            </w:r>
            <w:r w:rsidRPr="002E7B19">
              <w:rPr>
                <w:color w:val="000000"/>
                <w:sz w:val="24"/>
                <w:szCs w:val="24"/>
              </w:rPr>
              <w:t xml:space="preserve"> (</w:t>
            </w:r>
            <w:r w:rsidRPr="00DE7009">
              <w:rPr>
                <w:color w:val="000000"/>
                <w:sz w:val="24"/>
                <w:szCs w:val="24"/>
              </w:rPr>
              <w:t>.23</w:t>
            </w:r>
            <w:r w:rsidRPr="002E7B19">
              <w:rPr>
                <w:color w:val="000000"/>
                <w:sz w:val="24"/>
                <w:szCs w:val="24"/>
              </w:rPr>
              <w:t>)***</w:t>
            </w:r>
          </w:p>
        </w:tc>
      </w:tr>
      <w:tr w:rsidR="002E7B19" w:rsidRPr="002E7B19" w:rsidTr="00481584">
        <w:trPr>
          <w:trHeight w:val="320"/>
          <w:jc w:val="center"/>
        </w:trPr>
        <w:tc>
          <w:tcPr>
            <w:tcW w:w="2350" w:type="dxa"/>
            <w:shd w:val="clear" w:color="auto" w:fill="auto"/>
            <w:vAlign w:val="center"/>
          </w:tcPr>
          <w:p w:rsidR="002E7B19" w:rsidRPr="002E7B19" w:rsidRDefault="002E7B19" w:rsidP="00481584">
            <w:pPr>
              <w:spacing w:line="360" w:lineRule="auto"/>
              <w:rPr>
                <w:sz w:val="24"/>
                <w:szCs w:val="24"/>
              </w:rPr>
            </w:pPr>
            <w:proofErr w:type="spellStart"/>
            <w:r w:rsidRPr="00DE7009">
              <w:rPr>
                <w:color w:val="000000"/>
                <w:sz w:val="24"/>
                <w:szCs w:val="24"/>
              </w:rPr>
              <w:t>Frame</w:t>
            </w:r>
            <w:proofErr w:type="spellEnd"/>
            <w:r w:rsidRPr="00DE7009">
              <w:rPr>
                <w:color w:val="000000"/>
                <w:sz w:val="24"/>
                <w:szCs w:val="24"/>
              </w:rPr>
              <w:t xml:space="preserve"> temático</w:t>
            </w:r>
          </w:p>
        </w:tc>
        <w:tc>
          <w:tcPr>
            <w:tcW w:w="1899" w:type="dxa"/>
            <w:shd w:val="clear" w:color="auto" w:fill="auto"/>
            <w:vAlign w:val="center"/>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.24</w:t>
            </w:r>
            <w:r w:rsidRPr="002E7B19">
              <w:rPr>
                <w:color w:val="000000"/>
                <w:sz w:val="24"/>
                <w:szCs w:val="24"/>
              </w:rPr>
              <w:t xml:space="preserve"> (</w:t>
            </w:r>
            <w:r w:rsidRPr="00DE7009">
              <w:rPr>
                <w:color w:val="000000"/>
                <w:sz w:val="24"/>
                <w:szCs w:val="24"/>
              </w:rPr>
              <w:t>.21</w:t>
            </w:r>
            <w:r w:rsidRPr="002E7B19">
              <w:rPr>
                <w:color w:val="000000"/>
                <w:sz w:val="24"/>
                <w:szCs w:val="24"/>
              </w:rPr>
              <w:t>)***</w:t>
            </w:r>
          </w:p>
        </w:tc>
        <w:tc>
          <w:tcPr>
            <w:tcW w:w="1900" w:type="dxa"/>
            <w:shd w:val="clear" w:color="auto" w:fill="auto"/>
            <w:vAlign w:val="center"/>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.20</w:t>
            </w:r>
            <w:r w:rsidRPr="002E7B19">
              <w:rPr>
                <w:color w:val="000000"/>
                <w:sz w:val="24"/>
                <w:szCs w:val="24"/>
              </w:rPr>
              <w:t xml:space="preserve"> (</w:t>
            </w:r>
            <w:r w:rsidRPr="00DE7009">
              <w:rPr>
                <w:color w:val="000000"/>
                <w:sz w:val="24"/>
                <w:szCs w:val="24"/>
              </w:rPr>
              <w:t>.22</w:t>
            </w:r>
            <w:r w:rsidRPr="002E7B19">
              <w:rPr>
                <w:color w:val="000000"/>
                <w:sz w:val="24"/>
                <w:szCs w:val="24"/>
              </w:rPr>
              <w:t>)***</w:t>
            </w:r>
          </w:p>
        </w:tc>
        <w:tc>
          <w:tcPr>
            <w:tcW w:w="1900" w:type="dxa"/>
            <w:shd w:val="clear" w:color="auto" w:fill="auto"/>
            <w:vAlign w:val="center"/>
          </w:tcPr>
          <w:p w:rsidR="002E7B19" w:rsidRPr="00DE7009" w:rsidRDefault="002E7B19" w:rsidP="00481584">
            <w:pPr>
              <w:autoSpaceDE w:val="0"/>
              <w:autoSpaceDN w:val="0"/>
              <w:adjustRightInd w:val="0"/>
              <w:spacing w:line="360" w:lineRule="auto"/>
              <w:ind w:left="60" w:right="60"/>
              <w:jc w:val="center"/>
              <w:rPr>
                <w:color w:val="000000"/>
                <w:sz w:val="24"/>
                <w:szCs w:val="24"/>
              </w:rPr>
            </w:pPr>
            <w:r w:rsidRPr="00DE7009">
              <w:rPr>
                <w:color w:val="000000"/>
                <w:sz w:val="24"/>
                <w:szCs w:val="24"/>
              </w:rPr>
              <w:t>.19</w:t>
            </w:r>
            <w:r w:rsidRPr="002E7B19">
              <w:rPr>
                <w:color w:val="000000"/>
                <w:sz w:val="24"/>
                <w:szCs w:val="24"/>
              </w:rPr>
              <w:t xml:space="preserve"> (</w:t>
            </w:r>
            <w:r w:rsidRPr="00DE7009">
              <w:rPr>
                <w:color w:val="000000"/>
                <w:sz w:val="24"/>
                <w:szCs w:val="24"/>
              </w:rPr>
              <w:t>.23</w:t>
            </w:r>
            <w:r w:rsidRPr="002E7B19">
              <w:rPr>
                <w:color w:val="000000"/>
                <w:sz w:val="24"/>
                <w:szCs w:val="24"/>
              </w:rPr>
              <w:t>)***</w:t>
            </w:r>
          </w:p>
        </w:tc>
      </w:tr>
    </w:tbl>
    <w:p w:rsidR="002E7B19" w:rsidRPr="00384EB0" w:rsidRDefault="002E7B19" w:rsidP="002E7B19">
      <w:pPr>
        <w:autoSpaceDE w:val="0"/>
        <w:jc w:val="both"/>
        <w:rPr>
          <w:sz w:val="20"/>
          <w:szCs w:val="20"/>
        </w:rPr>
      </w:pPr>
      <w:r w:rsidRPr="00384EB0">
        <w:rPr>
          <w:i/>
          <w:sz w:val="20"/>
          <w:szCs w:val="20"/>
        </w:rPr>
        <w:t>Nota:</w:t>
      </w:r>
      <w:r w:rsidRPr="00384EB0">
        <w:rPr>
          <w:sz w:val="20"/>
          <w:szCs w:val="20"/>
        </w:rPr>
        <w:t xml:space="preserve"> </w:t>
      </w:r>
      <w:r w:rsidRPr="00384EB0">
        <w:rPr>
          <w:i/>
          <w:sz w:val="20"/>
          <w:szCs w:val="20"/>
        </w:rPr>
        <w:t>N</w:t>
      </w:r>
      <w:r w:rsidRPr="00384EB0">
        <w:rPr>
          <w:sz w:val="20"/>
          <w:szCs w:val="20"/>
        </w:rPr>
        <w:t xml:space="preserve"> = 1287. Todos los encuadres tenían un rango de variación de 0 (Nada presente) a 1 (Muy presente). Las diferencias son significativas a nivel ***</w:t>
      </w:r>
      <w:r w:rsidRPr="00384EB0">
        <w:rPr>
          <w:i/>
          <w:sz w:val="20"/>
          <w:szCs w:val="20"/>
        </w:rPr>
        <w:t>p</w:t>
      </w:r>
      <w:r w:rsidRPr="00384EB0">
        <w:rPr>
          <w:sz w:val="20"/>
          <w:szCs w:val="20"/>
        </w:rPr>
        <w:t xml:space="preserve"> &lt; .001</w:t>
      </w:r>
    </w:p>
    <w:p w:rsidR="002E7B19" w:rsidRPr="00384EB0" w:rsidRDefault="002E7B19" w:rsidP="00384EB0">
      <w:pPr>
        <w:jc w:val="both"/>
        <w:rPr>
          <w:b/>
        </w:rPr>
      </w:pPr>
    </w:p>
    <w:p w:rsidR="008E3677" w:rsidRPr="00384EB0" w:rsidRDefault="008E3677" w:rsidP="00384EB0">
      <w:pPr>
        <w:jc w:val="both"/>
        <w:rPr>
          <w:b/>
        </w:rPr>
      </w:pPr>
      <w:r w:rsidRPr="00384EB0">
        <w:rPr>
          <w:b/>
        </w:rPr>
        <w:t>5. Discusión y conclusiones</w:t>
      </w:r>
    </w:p>
    <w:p w:rsidR="008E3677" w:rsidRPr="00384EB0" w:rsidRDefault="008E3677" w:rsidP="00384EB0">
      <w:pPr>
        <w:jc w:val="both"/>
      </w:pPr>
      <w:r w:rsidRPr="00384EB0">
        <w:tab/>
      </w:r>
    </w:p>
    <w:p w:rsidR="008E3677" w:rsidRPr="00A53087" w:rsidRDefault="008E3677" w:rsidP="00384EB0">
      <w:pPr>
        <w:jc w:val="both"/>
      </w:pPr>
      <w:r w:rsidRPr="00384EB0">
        <w:tab/>
        <w:t>El estudio ha mostrado un</w:t>
      </w:r>
      <w:r w:rsidRPr="00A53087">
        <w:t xml:space="preserve"> claro dominio del tratamiento estratégico por parte de los periódicos digitales mexicanos para dar cobertura a la campaña electoral mexicana de 2012, en detrimento de una presentación de notas que en mayor medida presentaran al ciudadano un debate sobre las propuestas políticas presentadas por los diferentes candidatos en el proceso electoral. Este resultado, en la misma línea de los obtenidos en otros estudios previos (Cappella y </w:t>
      </w:r>
      <w:proofErr w:type="spellStart"/>
      <w:r w:rsidRPr="00A53087">
        <w:t>Jamieson</w:t>
      </w:r>
      <w:proofErr w:type="spellEnd"/>
      <w:r w:rsidRPr="00A53087">
        <w:t xml:space="preserve">, 1997; de </w:t>
      </w:r>
      <w:proofErr w:type="spellStart"/>
      <w:r w:rsidRPr="00A53087">
        <w:t>Vreese</w:t>
      </w:r>
      <w:proofErr w:type="spellEnd"/>
      <w:r w:rsidRPr="00A53087">
        <w:t xml:space="preserve">, 2005; </w:t>
      </w:r>
      <w:proofErr w:type="spellStart"/>
      <w:r w:rsidRPr="00A53087">
        <w:t>Dimitrova</w:t>
      </w:r>
      <w:proofErr w:type="spellEnd"/>
      <w:r w:rsidRPr="00A53087">
        <w:t xml:space="preserve"> y </w:t>
      </w:r>
      <w:proofErr w:type="spellStart"/>
      <w:r w:rsidRPr="00A53087">
        <w:t>Strömbäck</w:t>
      </w:r>
      <w:proofErr w:type="spellEnd"/>
      <w:r w:rsidRPr="00A53087">
        <w:t xml:space="preserve">, 2011; Kim, 2009), debe generar un importante debate acerca de los efectos que este tipo de campaña genera en la ciudadanía. Es necesario determinar si esta cobertura está produciendo un efecto negativo, tendente a generar un menor interés e entusiasmo por la política, o si bien está generando una ciudanía más formada y crítica con la clase y el sistema político, pero no desvinculada del proceso político del país (de </w:t>
      </w:r>
      <w:proofErr w:type="spellStart"/>
      <w:r w:rsidRPr="00A53087">
        <w:t>Vreese</w:t>
      </w:r>
      <w:proofErr w:type="spellEnd"/>
      <w:r w:rsidRPr="00A53087">
        <w:t>, 2005).</w:t>
      </w:r>
    </w:p>
    <w:p w:rsidR="008E3677" w:rsidRPr="00A53087" w:rsidRDefault="008E3677" w:rsidP="00A53087">
      <w:pPr>
        <w:jc w:val="both"/>
      </w:pPr>
    </w:p>
    <w:p w:rsidR="009D665D" w:rsidRDefault="008E3677" w:rsidP="009D665D">
      <w:pPr>
        <w:jc w:val="both"/>
      </w:pPr>
      <w:r w:rsidRPr="00A53087">
        <w:tab/>
        <w:t xml:space="preserve">Junto a ello, el estudio aporta un procedimiento para evaluar la presencia de los encuadres estratégico y temático en las noticias sobre política, en particular en el terreno de una campaña política. Ahora bien, los bajos niveles de consistencia interna de las escalas obligan a la revisión futura de estos instrumentos a fin de lograr mejores mecanismos de medición que permitan </w:t>
      </w:r>
      <w:r w:rsidRPr="00A53087">
        <w:lastRenderedPageBreak/>
        <w:t xml:space="preserve">generar un proceso de evaluación más concienzudo de la cobertura periodística ofrecida a los asuntos políticos. Con todo, los estudios previos no han detectado igualmente altas consistencias en sus escalas, como es el caso del estudio de </w:t>
      </w:r>
      <w:proofErr w:type="spellStart"/>
      <w:r w:rsidRPr="00A53087">
        <w:t>Dimitrova</w:t>
      </w:r>
      <w:proofErr w:type="spellEnd"/>
      <w:r w:rsidRPr="00A53087">
        <w:t xml:space="preserve"> y </w:t>
      </w:r>
      <w:proofErr w:type="spellStart"/>
      <w:r w:rsidRPr="00A53087">
        <w:t>Strömbäck</w:t>
      </w:r>
      <w:proofErr w:type="spellEnd"/>
      <w:r w:rsidRPr="00A53087">
        <w:t xml:space="preserve"> (2011) o ni siquiera han formulado un indicador </w:t>
      </w:r>
      <w:proofErr w:type="spellStart"/>
      <w:r w:rsidRPr="00A53087">
        <w:t>multivariado</w:t>
      </w:r>
      <w:proofErr w:type="spellEnd"/>
      <w:r w:rsidRPr="00A53087">
        <w:t xml:space="preserve"> como sí se hace en el presente estudio. Ello confirma la naturaleza compleja del constructo que se está midiendo y enfatiza la necesidad de seguir mejorando los instrumentos de medición empleados.</w:t>
      </w:r>
    </w:p>
    <w:p w:rsidR="009D665D" w:rsidRDefault="009D665D" w:rsidP="009D665D">
      <w:pPr>
        <w:jc w:val="both"/>
      </w:pPr>
    </w:p>
    <w:p w:rsidR="009D665D" w:rsidRDefault="009D665D" w:rsidP="009D665D">
      <w:pPr>
        <w:jc w:val="both"/>
      </w:pPr>
      <w:r>
        <w:tab/>
        <w:t xml:space="preserve">En cuanto al uso de los encuadres por parte de los diferentes periódicos analizados, se detecta que hay una tendencia general a usar en mayor medida el tratamiento estratégico en todos ellos. Sin embargo, la existencia de diferencias estadísticamente significativas entre todos los periódicos en el caso de ambos tratamientos (estratégico y temático), pone de manifiesto el interés por estudiar las estrategias particulares seguidas por cada periódicos en la cobertura de la campaña electoral en general, y de cada uno de sus candidatos en particular. Junto a ello, no hay que dejar de señalar el posible impacto que la lectura de estos diarios pueda tener en su audiencia. Sobre todo atendiendo a la evidencia que muestra un mayor uso del tratamiento estratégico en varios periódicos, en este caso en </w:t>
      </w:r>
      <w:r w:rsidRPr="00487034">
        <w:rPr>
          <w:i/>
        </w:rPr>
        <w:t>La Jornada</w:t>
      </w:r>
      <w:r>
        <w:t xml:space="preserve"> y </w:t>
      </w:r>
      <w:r w:rsidRPr="00487034">
        <w:rPr>
          <w:i/>
        </w:rPr>
        <w:t>Milenio</w:t>
      </w:r>
      <w:r>
        <w:t xml:space="preserve">, tradicionalmente vinculados con dos posturas políticas concretas que se enfrentaban en esta campaña electoral. Este tipo de informaciones, que como mencionan </w:t>
      </w:r>
      <w:proofErr w:type="spellStart"/>
      <w:r>
        <w:t>Gerth</w:t>
      </w:r>
      <w:proofErr w:type="spellEnd"/>
      <w:r>
        <w:t xml:space="preserve"> y </w:t>
      </w:r>
      <w:proofErr w:type="spellStart"/>
      <w:r>
        <w:t>Siegert</w:t>
      </w:r>
      <w:proofErr w:type="spellEnd"/>
      <w:r>
        <w:t xml:space="preserve"> (2012) tienden a estar más sesgadas, pueden estar produciendo un efecto pernicioso en los lectores asiduos de esta prensa, descontextualizando su visión del proceso electoral, mermando su capacidad para contrastar propuestas y programas y tendiendo a visualizar a un candidato como el más idóneo debido al ejercicio de personalización que realizan en sus noticias. </w:t>
      </w:r>
    </w:p>
    <w:p w:rsidR="007965CA" w:rsidRPr="00A53087" w:rsidRDefault="007965CA" w:rsidP="00A53087">
      <w:pPr>
        <w:jc w:val="both"/>
      </w:pPr>
    </w:p>
    <w:p w:rsidR="008E3677" w:rsidRPr="00A53087" w:rsidRDefault="00A95344" w:rsidP="00A53087">
      <w:pPr>
        <w:jc w:val="both"/>
        <w:rPr>
          <w:b/>
        </w:rPr>
      </w:pPr>
      <w:r w:rsidRPr="00A53087">
        <w:rPr>
          <w:b/>
        </w:rPr>
        <w:t xml:space="preserve">6. </w:t>
      </w:r>
      <w:r w:rsidR="008E3677" w:rsidRPr="00A53087">
        <w:rPr>
          <w:b/>
        </w:rPr>
        <w:t>Referencias</w:t>
      </w:r>
    </w:p>
    <w:p w:rsidR="008E3677" w:rsidRPr="00A53087" w:rsidRDefault="008E3677" w:rsidP="00A53087">
      <w:pPr>
        <w:jc w:val="both"/>
      </w:pPr>
    </w:p>
    <w:p w:rsidR="00B873DD" w:rsidRPr="00A53087" w:rsidRDefault="00B873DD" w:rsidP="00BE4310">
      <w:pPr>
        <w:ind w:left="567" w:hanging="567"/>
        <w:jc w:val="both"/>
      </w:pPr>
      <w:proofErr w:type="spellStart"/>
      <w:r w:rsidRPr="00A53087">
        <w:t>Aalberg</w:t>
      </w:r>
      <w:proofErr w:type="spellEnd"/>
      <w:r w:rsidRPr="00A53087">
        <w:t xml:space="preserve">, T., </w:t>
      </w:r>
      <w:proofErr w:type="spellStart"/>
      <w:r w:rsidRPr="00A53087">
        <w:t>Strömbäck</w:t>
      </w:r>
      <w:proofErr w:type="spellEnd"/>
      <w:r w:rsidRPr="00A53087">
        <w:t xml:space="preserve">, J. y de </w:t>
      </w:r>
      <w:proofErr w:type="spellStart"/>
      <w:r w:rsidRPr="00A53087">
        <w:t>Vreese</w:t>
      </w:r>
      <w:proofErr w:type="spellEnd"/>
      <w:r w:rsidRPr="00A53087">
        <w:t xml:space="preserve">, C. H. (2011). </w:t>
      </w:r>
      <w:proofErr w:type="spellStart"/>
      <w:r w:rsidRPr="00A53087">
        <w:t>The</w:t>
      </w:r>
      <w:proofErr w:type="spellEnd"/>
      <w:r w:rsidRPr="00A53087">
        <w:t xml:space="preserve"> </w:t>
      </w:r>
      <w:proofErr w:type="spellStart"/>
      <w:r w:rsidRPr="00A53087">
        <w:rPr>
          <w:i/>
        </w:rPr>
        <w:t>framing</w:t>
      </w:r>
      <w:proofErr w:type="spellEnd"/>
      <w:r w:rsidRPr="00A53087">
        <w:t xml:space="preserve"> of </w:t>
      </w:r>
      <w:proofErr w:type="spellStart"/>
      <w:r w:rsidRPr="00A53087">
        <w:t>politics</w:t>
      </w:r>
      <w:proofErr w:type="spellEnd"/>
      <w:r w:rsidRPr="00A53087">
        <w:t xml:space="preserve"> as </w:t>
      </w:r>
      <w:proofErr w:type="spellStart"/>
      <w:r w:rsidRPr="00A53087">
        <w:t>strategy</w:t>
      </w:r>
      <w:proofErr w:type="spellEnd"/>
      <w:r w:rsidRPr="00A53087">
        <w:t xml:space="preserve"> and </w:t>
      </w:r>
      <w:proofErr w:type="spellStart"/>
      <w:r w:rsidRPr="00A53087">
        <w:t>game</w:t>
      </w:r>
      <w:proofErr w:type="spellEnd"/>
      <w:r w:rsidRPr="00A53087">
        <w:t xml:space="preserve">: A </w:t>
      </w:r>
      <w:proofErr w:type="spellStart"/>
      <w:r w:rsidRPr="00A53087">
        <w:t>review</w:t>
      </w:r>
      <w:proofErr w:type="spellEnd"/>
      <w:r w:rsidRPr="00A53087">
        <w:t xml:space="preserve"> of </w:t>
      </w:r>
      <w:proofErr w:type="spellStart"/>
      <w:r w:rsidRPr="00A53087">
        <w:t>concepts</w:t>
      </w:r>
      <w:proofErr w:type="spellEnd"/>
      <w:r w:rsidRPr="00A53087">
        <w:t xml:space="preserve">, </w:t>
      </w:r>
      <w:proofErr w:type="spellStart"/>
      <w:r w:rsidRPr="00A53087">
        <w:t>operationalizations</w:t>
      </w:r>
      <w:proofErr w:type="spellEnd"/>
      <w:r w:rsidRPr="00A53087">
        <w:t xml:space="preserve"> and </w:t>
      </w:r>
      <w:proofErr w:type="spellStart"/>
      <w:r w:rsidRPr="00A53087">
        <w:t>key</w:t>
      </w:r>
      <w:proofErr w:type="spellEnd"/>
      <w:r w:rsidRPr="00A53087">
        <w:t xml:space="preserve"> </w:t>
      </w:r>
      <w:proofErr w:type="spellStart"/>
      <w:r w:rsidRPr="00A53087">
        <w:t>findings</w:t>
      </w:r>
      <w:proofErr w:type="spellEnd"/>
      <w:r w:rsidRPr="00A53087">
        <w:t xml:space="preserve">. </w:t>
      </w:r>
      <w:proofErr w:type="spellStart"/>
      <w:r w:rsidRPr="00A53087">
        <w:t>Journalism</w:t>
      </w:r>
      <w:proofErr w:type="spellEnd"/>
      <w:r w:rsidRPr="00A53087">
        <w:t>, 13(2), 162-178.</w:t>
      </w:r>
    </w:p>
    <w:p w:rsidR="00BE4310" w:rsidRPr="002400EC" w:rsidRDefault="00BE4310" w:rsidP="00BE4310">
      <w:pPr>
        <w:ind w:left="284" w:hanging="284"/>
        <w:jc w:val="both"/>
        <w:rPr>
          <w:lang w:val="en-GB"/>
        </w:rPr>
      </w:pPr>
      <w:r w:rsidRPr="00223C11">
        <w:rPr>
          <w:lang w:val="en-GB"/>
        </w:rPr>
        <w:t xml:space="preserve">Bateson, G. (1972). </w:t>
      </w:r>
      <w:r w:rsidRPr="00480984">
        <w:rPr>
          <w:i/>
          <w:lang w:val="en-GB"/>
        </w:rPr>
        <w:t>Steps</w:t>
      </w:r>
      <w:r w:rsidRPr="002400EC">
        <w:rPr>
          <w:i/>
          <w:lang w:val="en-GB"/>
        </w:rPr>
        <w:t xml:space="preserve"> to an ecology of mind.</w:t>
      </w:r>
      <w:r w:rsidRPr="002400EC">
        <w:rPr>
          <w:lang w:val="en-GB"/>
        </w:rPr>
        <w:t xml:space="preserve"> N</w:t>
      </w:r>
      <w:r>
        <w:rPr>
          <w:lang w:val="en-GB"/>
        </w:rPr>
        <w:t>ueva York:</w:t>
      </w:r>
      <w:r w:rsidRPr="001A2D60">
        <w:rPr>
          <w:lang w:val="en-GB"/>
        </w:rPr>
        <w:t xml:space="preserve"> </w:t>
      </w:r>
      <w:proofErr w:type="spellStart"/>
      <w:r>
        <w:rPr>
          <w:lang w:val="en-GB"/>
        </w:rPr>
        <w:t>Ballantine</w:t>
      </w:r>
      <w:proofErr w:type="spellEnd"/>
      <w:r>
        <w:rPr>
          <w:lang w:val="en-GB"/>
        </w:rPr>
        <w:t xml:space="preserve"> Books.</w:t>
      </w:r>
    </w:p>
    <w:p w:rsidR="00B873DD" w:rsidRPr="00A53087" w:rsidRDefault="00B873DD" w:rsidP="00BE4310">
      <w:pPr>
        <w:ind w:left="567" w:hanging="567"/>
        <w:jc w:val="both"/>
      </w:pPr>
      <w:r w:rsidRPr="00A53087">
        <w:t xml:space="preserve">Cappella, J. y </w:t>
      </w:r>
      <w:proofErr w:type="spellStart"/>
      <w:r w:rsidRPr="00A53087">
        <w:t>Jamieson</w:t>
      </w:r>
      <w:proofErr w:type="spellEnd"/>
      <w:r w:rsidRPr="00A53087">
        <w:t xml:space="preserve">, K. (1997). </w:t>
      </w:r>
      <w:proofErr w:type="spellStart"/>
      <w:r w:rsidRPr="00A53087">
        <w:t>Spiral</w:t>
      </w:r>
      <w:proofErr w:type="spellEnd"/>
      <w:r w:rsidRPr="00A53087">
        <w:t xml:space="preserve"> of </w:t>
      </w:r>
      <w:proofErr w:type="spellStart"/>
      <w:r w:rsidRPr="00A53087">
        <w:t>cynicism</w:t>
      </w:r>
      <w:proofErr w:type="spellEnd"/>
      <w:r w:rsidRPr="00A53087">
        <w:t xml:space="preserve">: </w:t>
      </w:r>
      <w:proofErr w:type="spellStart"/>
      <w:r w:rsidRPr="00A53087">
        <w:t>The</w:t>
      </w:r>
      <w:proofErr w:type="spellEnd"/>
      <w:r w:rsidRPr="00A53087">
        <w:t xml:space="preserve"> </w:t>
      </w:r>
      <w:proofErr w:type="spellStart"/>
      <w:r w:rsidRPr="00A53087">
        <w:t>press</w:t>
      </w:r>
      <w:proofErr w:type="spellEnd"/>
      <w:r w:rsidRPr="00A53087">
        <w:t xml:space="preserve"> and </w:t>
      </w:r>
      <w:proofErr w:type="spellStart"/>
      <w:r w:rsidRPr="00A53087">
        <w:t>the</w:t>
      </w:r>
      <w:proofErr w:type="spellEnd"/>
      <w:r w:rsidRPr="00A53087">
        <w:t xml:space="preserve"> </w:t>
      </w:r>
      <w:proofErr w:type="spellStart"/>
      <w:r w:rsidRPr="00A53087">
        <w:t>public</w:t>
      </w:r>
      <w:proofErr w:type="spellEnd"/>
      <w:r w:rsidRPr="00A53087">
        <w:t xml:space="preserve"> </w:t>
      </w:r>
      <w:proofErr w:type="spellStart"/>
      <w:r w:rsidRPr="00A53087">
        <w:t>good</w:t>
      </w:r>
      <w:proofErr w:type="spellEnd"/>
      <w:r w:rsidRPr="00A53087">
        <w:t xml:space="preserve">. New York, NY: Oxford </w:t>
      </w:r>
      <w:proofErr w:type="spellStart"/>
      <w:r w:rsidRPr="00A53087">
        <w:t>University</w:t>
      </w:r>
      <w:proofErr w:type="spellEnd"/>
      <w:r w:rsidRPr="00A53087">
        <w:t xml:space="preserve"> </w:t>
      </w:r>
      <w:proofErr w:type="spellStart"/>
      <w:r w:rsidRPr="00A53087">
        <w:t>Press</w:t>
      </w:r>
      <w:proofErr w:type="spellEnd"/>
      <w:r w:rsidRPr="00A53087">
        <w:t>.</w:t>
      </w:r>
    </w:p>
    <w:p w:rsidR="00B873DD" w:rsidRPr="00A53087" w:rsidRDefault="00B873DD" w:rsidP="00BE4310">
      <w:pPr>
        <w:ind w:left="567" w:hanging="567"/>
        <w:jc w:val="both"/>
      </w:pPr>
      <w:r w:rsidRPr="00A53087">
        <w:t xml:space="preserve">Dalton, R. J. (2006). </w:t>
      </w:r>
      <w:proofErr w:type="spellStart"/>
      <w:r w:rsidRPr="00A53087">
        <w:t>Citizen</w:t>
      </w:r>
      <w:proofErr w:type="spellEnd"/>
      <w:r w:rsidRPr="00A53087">
        <w:t xml:space="preserve"> </w:t>
      </w:r>
      <w:proofErr w:type="spellStart"/>
      <w:r w:rsidRPr="00A53087">
        <w:t>politics</w:t>
      </w:r>
      <w:proofErr w:type="spellEnd"/>
      <w:r w:rsidRPr="00A53087">
        <w:t xml:space="preserve">: </w:t>
      </w:r>
      <w:proofErr w:type="spellStart"/>
      <w:r w:rsidRPr="00A53087">
        <w:t>public</w:t>
      </w:r>
      <w:proofErr w:type="spellEnd"/>
      <w:r w:rsidRPr="00A53087">
        <w:t xml:space="preserve"> </w:t>
      </w:r>
      <w:proofErr w:type="spellStart"/>
      <w:r w:rsidRPr="00A53087">
        <w:t>opinion</w:t>
      </w:r>
      <w:proofErr w:type="spellEnd"/>
      <w:r w:rsidRPr="00A53087">
        <w:t xml:space="preserve"> and </w:t>
      </w:r>
      <w:proofErr w:type="spellStart"/>
      <w:r w:rsidRPr="00A53087">
        <w:t>political</w:t>
      </w:r>
      <w:proofErr w:type="spellEnd"/>
      <w:r w:rsidRPr="00A53087">
        <w:t xml:space="preserve"> </w:t>
      </w:r>
      <w:proofErr w:type="spellStart"/>
      <w:r w:rsidRPr="00A53087">
        <w:t>parties</w:t>
      </w:r>
      <w:proofErr w:type="spellEnd"/>
      <w:r w:rsidRPr="00A53087">
        <w:t xml:space="preserve"> in </w:t>
      </w:r>
      <w:proofErr w:type="spellStart"/>
      <w:r w:rsidRPr="00A53087">
        <w:t>advanced</w:t>
      </w:r>
      <w:proofErr w:type="spellEnd"/>
      <w:r w:rsidRPr="00A53087">
        <w:t xml:space="preserve"> industrial </w:t>
      </w:r>
      <w:proofErr w:type="spellStart"/>
      <w:r w:rsidRPr="00A53087">
        <w:t>democracies</w:t>
      </w:r>
      <w:proofErr w:type="spellEnd"/>
      <w:r w:rsidRPr="00A53087">
        <w:t xml:space="preserve">. Washington, DC: CQ </w:t>
      </w:r>
      <w:proofErr w:type="spellStart"/>
      <w:r w:rsidRPr="00A53087">
        <w:t>Press</w:t>
      </w:r>
      <w:proofErr w:type="spellEnd"/>
      <w:r w:rsidRPr="00A53087">
        <w:t>.</w:t>
      </w:r>
    </w:p>
    <w:p w:rsidR="00B873DD" w:rsidRPr="00A53087" w:rsidRDefault="00B873DD" w:rsidP="00BE4310">
      <w:pPr>
        <w:ind w:left="567" w:hanging="567"/>
        <w:jc w:val="both"/>
      </w:pPr>
      <w:r w:rsidRPr="00A53087">
        <w:t xml:space="preserve">de </w:t>
      </w:r>
      <w:proofErr w:type="spellStart"/>
      <w:r w:rsidRPr="00A53087">
        <w:t>Vreese</w:t>
      </w:r>
      <w:proofErr w:type="spellEnd"/>
      <w:r w:rsidRPr="00A53087">
        <w:t xml:space="preserve">, C. H. (2003). </w:t>
      </w:r>
      <w:proofErr w:type="spellStart"/>
      <w:r w:rsidRPr="00A53087">
        <w:rPr>
          <w:i/>
        </w:rPr>
        <w:t>Framing</w:t>
      </w:r>
      <w:proofErr w:type="spellEnd"/>
      <w:r w:rsidRPr="00A53087">
        <w:t xml:space="preserve"> </w:t>
      </w:r>
      <w:proofErr w:type="spellStart"/>
      <w:r w:rsidRPr="00A53087">
        <w:t>Europe</w:t>
      </w:r>
      <w:proofErr w:type="spellEnd"/>
      <w:r w:rsidRPr="00A53087">
        <w:t xml:space="preserve">: </w:t>
      </w:r>
      <w:proofErr w:type="spellStart"/>
      <w:r w:rsidRPr="00A53087">
        <w:t>Television</w:t>
      </w:r>
      <w:proofErr w:type="spellEnd"/>
      <w:r w:rsidRPr="00A53087">
        <w:t xml:space="preserve"> </w:t>
      </w:r>
      <w:proofErr w:type="spellStart"/>
      <w:r w:rsidRPr="00A53087">
        <w:t>news</w:t>
      </w:r>
      <w:proofErr w:type="spellEnd"/>
      <w:r w:rsidRPr="00A53087">
        <w:t xml:space="preserve"> and </w:t>
      </w:r>
      <w:proofErr w:type="spellStart"/>
      <w:r w:rsidRPr="00A53087">
        <w:t>European</w:t>
      </w:r>
      <w:proofErr w:type="spellEnd"/>
      <w:r w:rsidRPr="00A53087">
        <w:t xml:space="preserve"> </w:t>
      </w:r>
      <w:proofErr w:type="spellStart"/>
      <w:r w:rsidRPr="00A53087">
        <w:t>integration</w:t>
      </w:r>
      <w:proofErr w:type="spellEnd"/>
      <w:r w:rsidRPr="00A53087">
        <w:t xml:space="preserve">. </w:t>
      </w:r>
      <w:proofErr w:type="spellStart"/>
      <w:r w:rsidRPr="00A53087">
        <w:t>Amsterdam</w:t>
      </w:r>
      <w:proofErr w:type="spellEnd"/>
      <w:r w:rsidRPr="00A53087">
        <w:t xml:space="preserve">: </w:t>
      </w:r>
      <w:proofErr w:type="spellStart"/>
      <w:r w:rsidRPr="00A53087">
        <w:t>Aksant</w:t>
      </w:r>
      <w:proofErr w:type="spellEnd"/>
      <w:r w:rsidRPr="00A53087">
        <w:t xml:space="preserve"> </w:t>
      </w:r>
      <w:proofErr w:type="spellStart"/>
      <w:r w:rsidRPr="00A53087">
        <w:t>Academic</w:t>
      </w:r>
      <w:proofErr w:type="spellEnd"/>
      <w:r w:rsidRPr="00A53087">
        <w:t xml:space="preserve"> </w:t>
      </w:r>
      <w:proofErr w:type="spellStart"/>
      <w:r w:rsidRPr="00A53087">
        <w:t>Publishers</w:t>
      </w:r>
      <w:proofErr w:type="spellEnd"/>
      <w:r w:rsidRPr="00A53087">
        <w:t>.</w:t>
      </w:r>
    </w:p>
    <w:p w:rsidR="00B873DD" w:rsidRPr="00A53087" w:rsidRDefault="00B873DD" w:rsidP="00BE4310">
      <w:pPr>
        <w:ind w:left="567" w:hanging="567"/>
        <w:jc w:val="both"/>
      </w:pPr>
      <w:r w:rsidRPr="00A53087">
        <w:t xml:space="preserve">de </w:t>
      </w:r>
      <w:proofErr w:type="spellStart"/>
      <w:r w:rsidRPr="00A53087">
        <w:t>Vreese</w:t>
      </w:r>
      <w:proofErr w:type="spellEnd"/>
      <w:r w:rsidRPr="00A53087">
        <w:t xml:space="preserve">, C. H. (2005). </w:t>
      </w:r>
      <w:proofErr w:type="spellStart"/>
      <w:r w:rsidRPr="00A53087">
        <w:t>The</w:t>
      </w:r>
      <w:proofErr w:type="spellEnd"/>
      <w:r w:rsidRPr="00A53087">
        <w:t xml:space="preserve"> </w:t>
      </w:r>
      <w:proofErr w:type="spellStart"/>
      <w:r w:rsidRPr="00A53087">
        <w:t>spiral</w:t>
      </w:r>
      <w:proofErr w:type="spellEnd"/>
      <w:r w:rsidRPr="00A53087">
        <w:t xml:space="preserve"> of </w:t>
      </w:r>
      <w:proofErr w:type="spellStart"/>
      <w:r w:rsidRPr="00A53087">
        <w:t>cynicism</w:t>
      </w:r>
      <w:proofErr w:type="spellEnd"/>
      <w:r w:rsidRPr="00A53087">
        <w:t xml:space="preserve"> </w:t>
      </w:r>
      <w:proofErr w:type="spellStart"/>
      <w:r w:rsidRPr="00A53087">
        <w:t>reconsidered</w:t>
      </w:r>
      <w:proofErr w:type="spellEnd"/>
      <w:r w:rsidRPr="00A53087">
        <w:t xml:space="preserve">: </w:t>
      </w:r>
      <w:proofErr w:type="spellStart"/>
      <w:r w:rsidRPr="00A53087">
        <w:t>the</w:t>
      </w:r>
      <w:proofErr w:type="spellEnd"/>
      <w:r w:rsidRPr="00A53087">
        <w:t xml:space="preserve"> </w:t>
      </w:r>
      <w:proofErr w:type="spellStart"/>
      <w:r w:rsidRPr="00A53087">
        <w:t>mobilizing</w:t>
      </w:r>
      <w:proofErr w:type="spellEnd"/>
      <w:r w:rsidRPr="00A53087">
        <w:t xml:space="preserve"> </w:t>
      </w:r>
      <w:proofErr w:type="spellStart"/>
      <w:r w:rsidRPr="00A53087">
        <w:t>function</w:t>
      </w:r>
      <w:proofErr w:type="spellEnd"/>
      <w:r w:rsidRPr="00A53087">
        <w:t xml:space="preserve"> of </w:t>
      </w:r>
      <w:proofErr w:type="spellStart"/>
      <w:r w:rsidRPr="00A53087">
        <w:t>news</w:t>
      </w:r>
      <w:proofErr w:type="spellEnd"/>
      <w:r w:rsidRPr="00A53087">
        <w:t xml:space="preserve">. </w:t>
      </w:r>
      <w:proofErr w:type="spellStart"/>
      <w:r w:rsidRPr="00A53087">
        <w:t>European</w:t>
      </w:r>
      <w:proofErr w:type="spellEnd"/>
      <w:r w:rsidRPr="00A53087">
        <w:t xml:space="preserve"> </w:t>
      </w:r>
      <w:proofErr w:type="spellStart"/>
      <w:r w:rsidRPr="00A53087">
        <w:t>Journal</w:t>
      </w:r>
      <w:proofErr w:type="spellEnd"/>
      <w:r w:rsidRPr="00A53087">
        <w:t xml:space="preserve"> of </w:t>
      </w:r>
      <w:proofErr w:type="spellStart"/>
      <w:r w:rsidRPr="00A53087">
        <w:t>Communication</w:t>
      </w:r>
      <w:proofErr w:type="spellEnd"/>
      <w:r w:rsidRPr="00A53087">
        <w:t>, 20(3), 283-301. doi:10.1177/0267323105055259.</w:t>
      </w:r>
    </w:p>
    <w:p w:rsidR="00B873DD" w:rsidRPr="00A53087" w:rsidRDefault="00B873DD" w:rsidP="00BE4310">
      <w:pPr>
        <w:ind w:left="567" w:hanging="567"/>
        <w:jc w:val="both"/>
      </w:pPr>
      <w:r w:rsidRPr="00A53087">
        <w:t xml:space="preserve">de </w:t>
      </w:r>
      <w:proofErr w:type="spellStart"/>
      <w:r w:rsidRPr="00A53087">
        <w:t>Vreese</w:t>
      </w:r>
      <w:proofErr w:type="spellEnd"/>
      <w:r w:rsidRPr="00A53087">
        <w:t xml:space="preserve">, C. H. (2012). New </w:t>
      </w:r>
      <w:proofErr w:type="spellStart"/>
      <w:r w:rsidRPr="00A53087">
        <w:t>Avenues</w:t>
      </w:r>
      <w:proofErr w:type="spellEnd"/>
      <w:r w:rsidRPr="00A53087">
        <w:t xml:space="preserve"> </w:t>
      </w:r>
      <w:proofErr w:type="spellStart"/>
      <w:r w:rsidRPr="00A53087">
        <w:t>for</w:t>
      </w:r>
      <w:proofErr w:type="spellEnd"/>
      <w:r w:rsidRPr="00A53087">
        <w:t xml:space="preserve"> </w:t>
      </w:r>
      <w:proofErr w:type="spellStart"/>
      <w:r w:rsidRPr="00A53087">
        <w:rPr>
          <w:i/>
        </w:rPr>
        <w:t>Framing</w:t>
      </w:r>
      <w:proofErr w:type="spellEnd"/>
      <w:r w:rsidRPr="00A53087">
        <w:t xml:space="preserve"> </w:t>
      </w:r>
      <w:proofErr w:type="spellStart"/>
      <w:r w:rsidRPr="00A53087">
        <w:t>Research</w:t>
      </w:r>
      <w:proofErr w:type="spellEnd"/>
      <w:r w:rsidRPr="00A53087">
        <w:t xml:space="preserve">. American </w:t>
      </w:r>
      <w:proofErr w:type="spellStart"/>
      <w:r w:rsidRPr="00A53087">
        <w:t>Behavioral</w:t>
      </w:r>
      <w:proofErr w:type="spellEnd"/>
      <w:r w:rsidRPr="00A53087">
        <w:t xml:space="preserve"> </w:t>
      </w:r>
      <w:proofErr w:type="spellStart"/>
      <w:r w:rsidRPr="00A53087">
        <w:t>Scientist</w:t>
      </w:r>
      <w:proofErr w:type="spellEnd"/>
      <w:r w:rsidRPr="00A53087">
        <w:t>, 56(3), 365-375.</w:t>
      </w:r>
    </w:p>
    <w:p w:rsidR="00B873DD" w:rsidRPr="00A53087" w:rsidRDefault="00B873DD" w:rsidP="00BE4310">
      <w:pPr>
        <w:ind w:left="567" w:hanging="567"/>
        <w:jc w:val="both"/>
      </w:pPr>
      <w:r w:rsidRPr="00A53087">
        <w:t xml:space="preserve">de </w:t>
      </w:r>
      <w:proofErr w:type="spellStart"/>
      <w:r w:rsidRPr="00A53087">
        <w:t>Vreese</w:t>
      </w:r>
      <w:proofErr w:type="spellEnd"/>
      <w:r w:rsidRPr="00A53087">
        <w:t xml:space="preserve">, C. H., </w:t>
      </w:r>
      <w:proofErr w:type="spellStart"/>
      <w:r w:rsidRPr="00A53087">
        <w:t>Boomgaarden</w:t>
      </w:r>
      <w:proofErr w:type="spellEnd"/>
      <w:r w:rsidRPr="00A53087">
        <w:t xml:space="preserve">, H. G. y </w:t>
      </w:r>
      <w:proofErr w:type="spellStart"/>
      <w:r w:rsidRPr="00A53087">
        <w:t>Semetko</w:t>
      </w:r>
      <w:proofErr w:type="spellEnd"/>
      <w:r w:rsidRPr="00A53087">
        <w:t>, H. A. (2011). (In)</w:t>
      </w:r>
      <w:proofErr w:type="spellStart"/>
      <w:r w:rsidRPr="00A53087">
        <w:t>direct</w:t>
      </w:r>
      <w:proofErr w:type="spellEnd"/>
      <w:r w:rsidRPr="00A53087">
        <w:t xml:space="preserve"> </w:t>
      </w:r>
      <w:proofErr w:type="spellStart"/>
      <w:r w:rsidRPr="00A53087">
        <w:rPr>
          <w:i/>
        </w:rPr>
        <w:t>Framing</w:t>
      </w:r>
      <w:proofErr w:type="spellEnd"/>
      <w:r w:rsidRPr="00A53087">
        <w:t xml:space="preserve"> </w:t>
      </w:r>
      <w:proofErr w:type="spellStart"/>
      <w:r w:rsidRPr="00A53087">
        <w:t>Effects</w:t>
      </w:r>
      <w:proofErr w:type="spellEnd"/>
      <w:r w:rsidRPr="00A53087">
        <w:t xml:space="preserve">: </w:t>
      </w:r>
      <w:proofErr w:type="spellStart"/>
      <w:r w:rsidRPr="00A53087">
        <w:t>The</w:t>
      </w:r>
      <w:proofErr w:type="spellEnd"/>
      <w:r w:rsidRPr="00A53087">
        <w:t xml:space="preserve"> </w:t>
      </w:r>
      <w:proofErr w:type="spellStart"/>
      <w:r w:rsidRPr="00A53087">
        <w:t>Effects</w:t>
      </w:r>
      <w:proofErr w:type="spellEnd"/>
      <w:r w:rsidRPr="00A53087">
        <w:t xml:space="preserve"> of News Media </w:t>
      </w:r>
      <w:proofErr w:type="spellStart"/>
      <w:r w:rsidRPr="00A53087">
        <w:rPr>
          <w:i/>
        </w:rPr>
        <w:t>Framing</w:t>
      </w:r>
      <w:proofErr w:type="spellEnd"/>
      <w:r w:rsidRPr="00A53087">
        <w:t xml:space="preserve"> </w:t>
      </w:r>
      <w:proofErr w:type="spellStart"/>
      <w:r w:rsidRPr="00A53087">
        <w:t>on</w:t>
      </w:r>
      <w:proofErr w:type="spellEnd"/>
      <w:r w:rsidRPr="00A53087">
        <w:t xml:space="preserve"> </w:t>
      </w:r>
      <w:proofErr w:type="spellStart"/>
      <w:r w:rsidRPr="00A53087">
        <w:t>Public</w:t>
      </w:r>
      <w:proofErr w:type="spellEnd"/>
      <w:r w:rsidRPr="00A53087">
        <w:t xml:space="preserve"> </w:t>
      </w:r>
      <w:proofErr w:type="spellStart"/>
      <w:r w:rsidRPr="00A53087">
        <w:t>Support</w:t>
      </w:r>
      <w:proofErr w:type="spellEnd"/>
      <w:r w:rsidRPr="00A53087">
        <w:t xml:space="preserve"> </w:t>
      </w:r>
      <w:proofErr w:type="spellStart"/>
      <w:r w:rsidRPr="00A53087">
        <w:t>for</w:t>
      </w:r>
      <w:proofErr w:type="spellEnd"/>
      <w:r w:rsidRPr="00A53087">
        <w:t xml:space="preserve"> </w:t>
      </w:r>
      <w:proofErr w:type="spellStart"/>
      <w:r w:rsidRPr="00A53087">
        <w:t>Turkish</w:t>
      </w:r>
      <w:proofErr w:type="spellEnd"/>
      <w:r w:rsidRPr="00A53087">
        <w:t xml:space="preserve"> </w:t>
      </w:r>
      <w:proofErr w:type="spellStart"/>
      <w:r w:rsidRPr="00A53087">
        <w:t>Membership</w:t>
      </w:r>
      <w:proofErr w:type="spellEnd"/>
      <w:r w:rsidRPr="00A53087">
        <w:t xml:space="preserve"> in </w:t>
      </w:r>
      <w:proofErr w:type="spellStart"/>
      <w:r w:rsidRPr="00A53087">
        <w:t>the</w:t>
      </w:r>
      <w:proofErr w:type="spellEnd"/>
      <w:r w:rsidRPr="00A53087">
        <w:t xml:space="preserve"> </w:t>
      </w:r>
      <w:proofErr w:type="spellStart"/>
      <w:r w:rsidRPr="00A53087">
        <w:t>European</w:t>
      </w:r>
      <w:proofErr w:type="spellEnd"/>
      <w:r w:rsidRPr="00A53087">
        <w:t xml:space="preserve"> </w:t>
      </w:r>
      <w:proofErr w:type="spellStart"/>
      <w:r w:rsidRPr="00A53087">
        <w:t>Union</w:t>
      </w:r>
      <w:proofErr w:type="spellEnd"/>
      <w:r w:rsidRPr="00A53087">
        <w:t xml:space="preserve">. </w:t>
      </w:r>
      <w:proofErr w:type="spellStart"/>
      <w:r w:rsidRPr="00A53087">
        <w:t>Communication</w:t>
      </w:r>
      <w:proofErr w:type="spellEnd"/>
      <w:r w:rsidRPr="00A53087">
        <w:t xml:space="preserve"> </w:t>
      </w:r>
      <w:proofErr w:type="spellStart"/>
      <w:r w:rsidRPr="00A53087">
        <w:t>Research</w:t>
      </w:r>
      <w:proofErr w:type="spellEnd"/>
      <w:r w:rsidRPr="00A53087">
        <w:t>, 38(2), 179-205.</w:t>
      </w:r>
    </w:p>
    <w:p w:rsidR="00B873DD" w:rsidRPr="00A53087" w:rsidRDefault="00B873DD" w:rsidP="00BE4310">
      <w:pPr>
        <w:ind w:left="567" w:hanging="567"/>
        <w:jc w:val="both"/>
      </w:pPr>
      <w:proofErr w:type="spellStart"/>
      <w:r w:rsidRPr="00A53087">
        <w:t>Dimitrova</w:t>
      </w:r>
      <w:proofErr w:type="spellEnd"/>
      <w:r w:rsidRPr="00A53087">
        <w:t xml:space="preserve">, D. V. y </w:t>
      </w:r>
      <w:proofErr w:type="spellStart"/>
      <w:r w:rsidRPr="00A53087">
        <w:t>Strömbäck</w:t>
      </w:r>
      <w:proofErr w:type="spellEnd"/>
      <w:r w:rsidRPr="00A53087">
        <w:t xml:space="preserve">, J. (2011). </w:t>
      </w:r>
      <w:proofErr w:type="spellStart"/>
      <w:r w:rsidRPr="00A53087">
        <w:t>Election</w:t>
      </w:r>
      <w:proofErr w:type="spellEnd"/>
      <w:r w:rsidRPr="00A53087">
        <w:t xml:space="preserve"> </w:t>
      </w:r>
      <w:proofErr w:type="spellStart"/>
      <w:r w:rsidRPr="00A53087">
        <w:t>news</w:t>
      </w:r>
      <w:proofErr w:type="spellEnd"/>
      <w:r w:rsidRPr="00A53087">
        <w:t xml:space="preserve"> in </w:t>
      </w:r>
      <w:proofErr w:type="spellStart"/>
      <w:r w:rsidRPr="00A53087">
        <w:t>Sweden</w:t>
      </w:r>
      <w:proofErr w:type="spellEnd"/>
      <w:r w:rsidRPr="00A53087">
        <w:t xml:space="preserve"> and </w:t>
      </w:r>
      <w:proofErr w:type="spellStart"/>
      <w:r w:rsidRPr="00A53087">
        <w:t>the</w:t>
      </w:r>
      <w:proofErr w:type="spellEnd"/>
      <w:r w:rsidRPr="00A53087">
        <w:t xml:space="preserve"> </w:t>
      </w:r>
      <w:proofErr w:type="spellStart"/>
      <w:r w:rsidRPr="00A53087">
        <w:t>United</w:t>
      </w:r>
      <w:proofErr w:type="spellEnd"/>
      <w:r w:rsidRPr="00A53087">
        <w:t xml:space="preserve"> </w:t>
      </w:r>
      <w:proofErr w:type="spellStart"/>
      <w:r w:rsidRPr="00A53087">
        <w:t>States</w:t>
      </w:r>
      <w:proofErr w:type="spellEnd"/>
      <w:r w:rsidRPr="00A53087">
        <w:t xml:space="preserve">: A </w:t>
      </w:r>
      <w:proofErr w:type="spellStart"/>
      <w:r w:rsidRPr="00A53087">
        <w:t>comparative</w:t>
      </w:r>
      <w:proofErr w:type="spellEnd"/>
      <w:r w:rsidRPr="00A53087">
        <w:t xml:space="preserve"> </w:t>
      </w:r>
      <w:proofErr w:type="spellStart"/>
      <w:r w:rsidRPr="00A53087">
        <w:t>study</w:t>
      </w:r>
      <w:proofErr w:type="spellEnd"/>
      <w:r w:rsidRPr="00A53087">
        <w:t xml:space="preserve"> of </w:t>
      </w:r>
      <w:proofErr w:type="spellStart"/>
      <w:r w:rsidRPr="00A53087">
        <w:t>sources</w:t>
      </w:r>
      <w:proofErr w:type="spellEnd"/>
      <w:r w:rsidRPr="00A53087">
        <w:t xml:space="preserve"> and media </w:t>
      </w:r>
      <w:proofErr w:type="spellStart"/>
      <w:r w:rsidRPr="00A53087">
        <w:rPr>
          <w:i/>
        </w:rPr>
        <w:t>frames</w:t>
      </w:r>
      <w:proofErr w:type="spellEnd"/>
      <w:r w:rsidRPr="00A53087">
        <w:t xml:space="preserve">. </w:t>
      </w:r>
      <w:proofErr w:type="spellStart"/>
      <w:r w:rsidRPr="00A53087">
        <w:t>Journalism</w:t>
      </w:r>
      <w:proofErr w:type="spellEnd"/>
      <w:r w:rsidRPr="00A53087">
        <w:t>, 13(5), 604-619</w:t>
      </w:r>
    </w:p>
    <w:p w:rsidR="00B873DD" w:rsidRPr="00A53087" w:rsidRDefault="00B873DD" w:rsidP="00BE4310">
      <w:pPr>
        <w:ind w:left="567" w:hanging="567"/>
        <w:jc w:val="both"/>
      </w:pPr>
      <w:proofErr w:type="spellStart"/>
      <w:r w:rsidRPr="00A53087">
        <w:t>Druckman</w:t>
      </w:r>
      <w:proofErr w:type="spellEnd"/>
      <w:r w:rsidRPr="00A53087">
        <w:t xml:space="preserve">, J. N. y Nelson, K. R. (2003). </w:t>
      </w:r>
      <w:proofErr w:type="spellStart"/>
      <w:r w:rsidRPr="00A53087">
        <w:rPr>
          <w:i/>
        </w:rPr>
        <w:t>Framing</w:t>
      </w:r>
      <w:proofErr w:type="spellEnd"/>
      <w:r w:rsidRPr="00A53087">
        <w:t xml:space="preserve"> and </w:t>
      </w:r>
      <w:proofErr w:type="spellStart"/>
      <w:r w:rsidRPr="00A53087">
        <w:t>deliberation</w:t>
      </w:r>
      <w:proofErr w:type="spellEnd"/>
      <w:r w:rsidRPr="00A53087">
        <w:t xml:space="preserve">: </w:t>
      </w:r>
      <w:proofErr w:type="spellStart"/>
      <w:r w:rsidRPr="00A53087">
        <w:t>How</w:t>
      </w:r>
      <w:proofErr w:type="spellEnd"/>
      <w:r w:rsidRPr="00A53087">
        <w:t xml:space="preserve"> </w:t>
      </w:r>
      <w:proofErr w:type="spellStart"/>
      <w:r w:rsidRPr="00A53087">
        <w:t>citizens</w:t>
      </w:r>
      <w:proofErr w:type="spellEnd"/>
      <w:r w:rsidRPr="00A53087">
        <w:t xml:space="preserve">' </w:t>
      </w:r>
      <w:proofErr w:type="spellStart"/>
      <w:r w:rsidRPr="00A53087">
        <w:t>conversations</w:t>
      </w:r>
      <w:proofErr w:type="spellEnd"/>
      <w:r w:rsidRPr="00A53087">
        <w:t xml:space="preserve"> </w:t>
      </w:r>
      <w:proofErr w:type="spellStart"/>
      <w:r w:rsidRPr="00A53087">
        <w:t>limit</w:t>
      </w:r>
      <w:proofErr w:type="spellEnd"/>
      <w:r w:rsidRPr="00A53087">
        <w:t xml:space="preserve"> elite </w:t>
      </w:r>
      <w:proofErr w:type="spellStart"/>
      <w:r w:rsidRPr="00A53087">
        <w:t>influence</w:t>
      </w:r>
      <w:proofErr w:type="spellEnd"/>
      <w:r w:rsidRPr="00A53087">
        <w:t xml:space="preserve">. American </w:t>
      </w:r>
      <w:proofErr w:type="spellStart"/>
      <w:r w:rsidRPr="00A53087">
        <w:t>Journal</w:t>
      </w:r>
      <w:proofErr w:type="spellEnd"/>
      <w:r w:rsidRPr="00A53087">
        <w:t xml:space="preserve"> of </w:t>
      </w:r>
      <w:proofErr w:type="spellStart"/>
      <w:r w:rsidRPr="00A53087">
        <w:t>Political</w:t>
      </w:r>
      <w:proofErr w:type="spellEnd"/>
      <w:r w:rsidRPr="00A53087">
        <w:t xml:space="preserve"> </w:t>
      </w:r>
      <w:proofErr w:type="spellStart"/>
      <w:r w:rsidRPr="00A53087">
        <w:t>Science</w:t>
      </w:r>
      <w:proofErr w:type="spellEnd"/>
      <w:r w:rsidRPr="00A53087">
        <w:t>, 47, 729-745.</w:t>
      </w:r>
    </w:p>
    <w:p w:rsidR="00B873DD" w:rsidRPr="00A53087" w:rsidRDefault="00B873DD" w:rsidP="00BE4310">
      <w:pPr>
        <w:ind w:left="567" w:hanging="567"/>
        <w:jc w:val="both"/>
      </w:pPr>
      <w:proofErr w:type="spellStart"/>
      <w:r w:rsidRPr="00A53087">
        <w:lastRenderedPageBreak/>
        <w:t>Elenbaas</w:t>
      </w:r>
      <w:proofErr w:type="spellEnd"/>
      <w:r w:rsidRPr="00A53087">
        <w:t xml:space="preserve">, M. y de </w:t>
      </w:r>
      <w:proofErr w:type="spellStart"/>
      <w:r w:rsidRPr="00A53087">
        <w:t>Vreese</w:t>
      </w:r>
      <w:proofErr w:type="spellEnd"/>
      <w:r w:rsidRPr="00A53087">
        <w:t xml:space="preserve">, C. H. (2008). </w:t>
      </w:r>
      <w:proofErr w:type="spellStart"/>
      <w:r w:rsidRPr="00A53087">
        <w:t>The</w:t>
      </w:r>
      <w:proofErr w:type="spellEnd"/>
      <w:r w:rsidRPr="00A53087">
        <w:t xml:space="preserve"> </w:t>
      </w:r>
      <w:proofErr w:type="spellStart"/>
      <w:r w:rsidRPr="00A53087">
        <w:t>Effects</w:t>
      </w:r>
      <w:proofErr w:type="spellEnd"/>
      <w:r w:rsidRPr="00A53087">
        <w:t xml:space="preserve"> of </w:t>
      </w:r>
      <w:proofErr w:type="spellStart"/>
      <w:r w:rsidRPr="00A53087">
        <w:t>Strategic</w:t>
      </w:r>
      <w:proofErr w:type="spellEnd"/>
      <w:r w:rsidRPr="00A53087">
        <w:t xml:space="preserve"> News </w:t>
      </w:r>
      <w:proofErr w:type="spellStart"/>
      <w:r w:rsidRPr="00A53087">
        <w:t>on</w:t>
      </w:r>
      <w:proofErr w:type="spellEnd"/>
      <w:r w:rsidRPr="00A53087">
        <w:t xml:space="preserve"> </w:t>
      </w:r>
      <w:proofErr w:type="spellStart"/>
      <w:r w:rsidRPr="00A53087">
        <w:t>Political</w:t>
      </w:r>
      <w:proofErr w:type="spellEnd"/>
      <w:r w:rsidRPr="00A53087">
        <w:t xml:space="preserve">. </w:t>
      </w:r>
      <w:proofErr w:type="spellStart"/>
      <w:r w:rsidRPr="00A53087">
        <w:t>Cynicism</w:t>
      </w:r>
      <w:proofErr w:type="spellEnd"/>
      <w:r w:rsidRPr="00A53087">
        <w:t xml:space="preserve"> and Vote </w:t>
      </w:r>
      <w:proofErr w:type="spellStart"/>
      <w:r w:rsidRPr="00A53087">
        <w:t>Choice</w:t>
      </w:r>
      <w:proofErr w:type="spellEnd"/>
      <w:r w:rsidRPr="00A53087">
        <w:t xml:space="preserve"> </w:t>
      </w:r>
      <w:proofErr w:type="spellStart"/>
      <w:r w:rsidRPr="00A53087">
        <w:t>Among</w:t>
      </w:r>
      <w:proofErr w:type="spellEnd"/>
      <w:r w:rsidRPr="00A53087">
        <w:t xml:space="preserve"> Young </w:t>
      </w:r>
      <w:proofErr w:type="spellStart"/>
      <w:r w:rsidRPr="00A53087">
        <w:t>Voters</w:t>
      </w:r>
      <w:proofErr w:type="spellEnd"/>
      <w:r w:rsidRPr="00A53087">
        <w:t xml:space="preserve">. </w:t>
      </w:r>
      <w:proofErr w:type="spellStart"/>
      <w:r w:rsidRPr="00A53087">
        <w:t>Journal</w:t>
      </w:r>
      <w:proofErr w:type="spellEnd"/>
      <w:r w:rsidRPr="00A53087">
        <w:t xml:space="preserve"> of </w:t>
      </w:r>
      <w:proofErr w:type="spellStart"/>
      <w:r w:rsidRPr="00A53087">
        <w:t>Communication</w:t>
      </w:r>
      <w:proofErr w:type="spellEnd"/>
      <w:r w:rsidRPr="00A53087">
        <w:t>, 58, 550-567.</w:t>
      </w:r>
    </w:p>
    <w:p w:rsidR="00B873DD" w:rsidRPr="00A53087" w:rsidRDefault="00B873DD" w:rsidP="00BE4310">
      <w:pPr>
        <w:ind w:left="567" w:hanging="567"/>
        <w:jc w:val="both"/>
      </w:pPr>
      <w:proofErr w:type="spellStart"/>
      <w:r w:rsidRPr="00A53087">
        <w:t>Entman</w:t>
      </w:r>
      <w:proofErr w:type="spellEnd"/>
      <w:r w:rsidRPr="00A53087">
        <w:t xml:space="preserve">, R. (1993). </w:t>
      </w:r>
      <w:proofErr w:type="spellStart"/>
      <w:r w:rsidRPr="00A53087">
        <w:rPr>
          <w:i/>
        </w:rPr>
        <w:t>Framing</w:t>
      </w:r>
      <w:proofErr w:type="spellEnd"/>
      <w:r w:rsidRPr="00A53087">
        <w:t xml:space="preserve">: </w:t>
      </w:r>
      <w:proofErr w:type="spellStart"/>
      <w:r w:rsidRPr="00A53087">
        <w:t>Toward</w:t>
      </w:r>
      <w:proofErr w:type="spellEnd"/>
      <w:r w:rsidRPr="00A53087">
        <w:t xml:space="preserve"> a </w:t>
      </w:r>
      <w:proofErr w:type="spellStart"/>
      <w:r w:rsidRPr="00A53087">
        <w:t>clarification</w:t>
      </w:r>
      <w:proofErr w:type="spellEnd"/>
      <w:r w:rsidRPr="00A53087">
        <w:t xml:space="preserve"> of a </w:t>
      </w:r>
      <w:proofErr w:type="spellStart"/>
      <w:r w:rsidRPr="00A53087">
        <w:t>fractured</w:t>
      </w:r>
      <w:proofErr w:type="spellEnd"/>
      <w:r w:rsidRPr="00A53087">
        <w:t xml:space="preserve"> </w:t>
      </w:r>
      <w:proofErr w:type="spellStart"/>
      <w:r w:rsidRPr="00A53087">
        <w:t>paradigm</w:t>
      </w:r>
      <w:proofErr w:type="spellEnd"/>
      <w:r w:rsidRPr="00A53087">
        <w:t xml:space="preserve">. </w:t>
      </w:r>
      <w:proofErr w:type="spellStart"/>
      <w:r w:rsidRPr="00A53087">
        <w:t>Journal</w:t>
      </w:r>
      <w:proofErr w:type="spellEnd"/>
      <w:r w:rsidRPr="00A53087">
        <w:t xml:space="preserve"> of </w:t>
      </w:r>
      <w:proofErr w:type="spellStart"/>
      <w:r w:rsidRPr="00A53087">
        <w:t>Communication</w:t>
      </w:r>
      <w:proofErr w:type="spellEnd"/>
      <w:r w:rsidRPr="00A53087">
        <w:t>, 43(3), 51-58.</w:t>
      </w:r>
    </w:p>
    <w:p w:rsidR="00B873DD" w:rsidRPr="00A53087" w:rsidRDefault="00B873DD" w:rsidP="00BE4310">
      <w:pPr>
        <w:ind w:left="567" w:hanging="567"/>
        <w:jc w:val="both"/>
      </w:pPr>
      <w:proofErr w:type="spellStart"/>
      <w:r w:rsidRPr="00A53087">
        <w:t>Floss</w:t>
      </w:r>
      <w:proofErr w:type="spellEnd"/>
      <w:r w:rsidRPr="00A53087">
        <w:t xml:space="preserve">, D. y </w:t>
      </w:r>
      <w:proofErr w:type="spellStart"/>
      <w:r w:rsidRPr="00A53087">
        <w:t>Marcinkowski</w:t>
      </w:r>
      <w:proofErr w:type="spellEnd"/>
      <w:r w:rsidRPr="00A53087">
        <w:t xml:space="preserve">, F. (2008). Do Media News </w:t>
      </w:r>
      <w:proofErr w:type="spellStart"/>
      <w:r w:rsidRPr="00A53087">
        <w:rPr>
          <w:i/>
        </w:rPr>
        <w:t>Frames</w:t>
      </w:r>
      <w:proofErr w:type="spellEnd"/>
      <w:r w:rsidRPr="00A53087">
        <w:t xml:space="preserve"> </w:t>
      </w:r>
      <w:proofErr w:type="spellStart"/>
      <w:r w:rsidRPr="00A53087">
        <w:t>Reflect</w:t>
      </w:r>
      <w:proofErr w:type="spellEnd"/>
      <w:r w:rsidRPr="00A53087">
        <w:t xml:space="preserve"> a </w:t>
      </w:r>
      <w:proofErr w:type="spellStart"/>
      <w:r w:rsidRPr="00A53087">
        <w:t>Nation's</w:t>
      </w:r>
      <w:proofErr w:type="spellEnd"/>
      <w:r w:rsidRPr="00A53087">
        <w:t xml:space="preserve"> </w:t>
      </w:r>
      <w:proofErr w:type="spellStart"/>
      <w:r w:rsidRPr="00A53087">
        <w:t>Political</w:t>
      </w:r>
      <w:proofErr w:type="spellEnd"/>
      <w:r w:rsidRPr="00A53087">
        <w:t xml:space="preserve"> </w:t>
      </w:r>
      <w:proofErr w:type="spellStart"/>
      <w:r w:rsidRPr="00A53087">
        <w:t>Culture</w:t>
      </w:r>
      <w:proofErr w:type="spellEnd"/>
      <w:r w:rsidRPr="00A53087">
        <w:t>? (</w:t>
      </w:r>
      <w:proofErr w:type="spellStart"/>
      <w:r w:rsidRPr="00A53087">
        <w:t>Working</w:t>
      </w:r>
      <w:proofErr w:type="spellEnd"/>
      <w:r w:rsidRPr="00A53087">
        <w:t xml:space="preserve"> </w:t>
      </w:r>
      <w:proofErr w:type="spellStart"/>
      <w:r w:rsidRPr="00A53087">
        <w:t>Paper</w:t>
      </w:r>
      <w:proofErr w:type="spellEnd"/>
      <w:r w:rsidRPr="00A53087">
        <w:t xml:space="preserve"> n° 25). </w:t>
      </w:r>
      <w:proofErr w:type="spellStart"/>
      <w:r w:rsidRPr="00A53087">
        <w:t>Zurich</w:t>
      </w:r>
      <w:proofErr w:type="spellEnd"/>
      <w:r w:rsidRPr="00A53087">
        <w:t xml:space="preserve">: </w:t>
      </w:r>
      <w:proofErr w:type="spellStart"/>
      <w:r w:rsidRPr="00A53087">
        <w:t>National</w:t>
      </w:r>
      <w:proofErr w:type="spellEnd"/>
      <w:r w:rsidRPr="00A53087">
        <w:t xml:space="preserve"> Centre of </w:t>
      </w:r>
      <w:proofErr w:type="spellStart"/>
      <w:r w:rsidRPr="00A53087">
        <w:t>Competence</w:t>
      </w:r>
      <w:proofErr w:type="spellEnd"/>
      <w:r w:rsidRPr="00A53087">
        <w:t xml:space="preserve"> in </w:t>
      </w:r>
      <w:proofErr w:type="spellStart"/>
      <w:r w:rsidRPr="00A53087">
        <w:t>Research</w:t>
      </w:r>
      <w:proofErr w:type="spellEnd"/>
      <w:r w:rsidRPr="00A53087">
        <w:t>.</w:t>
      </w:r>
    </w:p>
    <w:p w:rsidR="00B873DD" w:rsidRPr="00A53087" w:rsidRDefault="00B873DD" w:rsidP="00BE4310">
      <w:pPr>
        <w:ind w:left="567" w:hanging="567"/>
        <w:jc w:val="both"/>
      </w:pPr>
      <w:proofErr w:type="spellStart"/>
      <w:r w:rsidRPr="00A53087">
        <w:t>Gerth</w:t>
      </w:r>
      <w:proofErr w:type="spellEnd"/>
      <w:r w:rsidRPr="00A53087">
        <w:t xml:space="preserve">, M. y </w:t>
      </w:r>
      <w:proofErr w:type="spellStart"/>
      <w:r w:rsidRPr="00A53087">
        <w:t>Siegert</w:t>
      </w:r>
      <w:proofErr w:type="spellEnd"/>
      <w:r w:rsidRPr="00A53087">
        <w:t xml:space="preserve">, G. (2012). </w:t>
      </w:r>
      <w:proofErr w:type="spellStart"/>
      <w:r w:rsidRPr="00A53087">
        <w:t>Patterns</w:t>
      </w:r>
      <w:proofErr w:type="spellEnd"/>
      <w:r w:rsidRPr="00A53087">
        <w:t xml:space="preserve"> of </w:t>
      </w:r>
      <w:proofErr w:type="spellStart"/>
      <w:r w:rsidRPr="00A53087">
        <w:t>consistence</w:t>
      </w:r>
      <w:proofErr w:type="spellEnd"/>
      <w:r w:rsidRPr="00A53087">
        <w:t xml:space="preserve"> and </w:t>
      </w:r>
      <w:proofErr w:type="spellStart"/>
      <w:r w:rsidRPr="00A53087">
        <w:t>constriction</w:t>
      </w:r>
      <w:proofErr w:type="spellEnd"/>
      <w:r w:rsidRPr="00A53087">
        <w:t xml:space="preserve">: </w:t>
      </w:r>
      <w:proofErr w:type="spellStart"/>
      <w:r w:rsidRPr="00A53087">
        <w:t>How</w:t>
      </w:r>
      <w:proofErr w:type="spellEnd"/>
      <w:r w:rsidRPr="00A53087">
        <w:t xml:space="preserve"> </w:t>
      </w:r>
      <w:proofErr w:type="spellStart"/>
      <w:r w:rsidRPr="00A53087">
        <w:t>news</w:t>
      </w:r>
      <w:proofErr w:type="spellEnd"/>
      <w:r w:rsidRPr="00A53087">
        <w:t xml:space="preserve"> media </w:t>
      </w:r>
      <w:proofErr w:type="spellStart"/>
      <w:r w:rsidRPr="00A53087">
        <w:rPr>
          <w:i/>
        </w:rPr>
        <w:t>frame</w:t>
      </w:r>
      <w:proofErr w:type="spellEnd"/>
      <w:r w:rsidRPr="00A53087">
        <w:t xml:space="preserve"> </w:t>
      </w:r>
      <w:proofErr w:type="spellStart"/>
      <w:r w:rsidRPr="00A53087">
        <w:t>the</w:t>
      </w:r>
      <w:proofErr w:type="spellEnd"/>
      <w:r w:rsidRPr="00A53087">
        <w:t xml:space="preserve"> </w:t>
      </w:r>
      <w:proofErr w:type="spellStart"/>
      <w:r w:rsidRPr="00A53087">
        <w:t>coverage</w:t>
      </w:r>
      <w:proofErr w:type="spellEnd"/>
      <w:r w:rsidRPr="00A53087">
        <w:t xml:space="preserve"> of </w:t>
      </w:r>
      <w:proofErr w:type="spellStart"/>
      <w:r w:rsidRPr="00A53087">
        <w:t>direct</w:t>
      </w:r>
      <w:proofErr w:type="spellEnd"/>
      <w:r w:rsidRPr="00A53087">
        <w:t xml:space="preserve"> </w:t>
      </w:r>
      <w:proofErr w:type="spellStart"/>
      <w:r w:rsidRPr="00A53087">
        <w:t>democratic</w:t>
      </w:r>
      <w:proofErr w:type="spellEnd"/>
      <w:r w:rsidRPr="00A53087">
        <w:t xml:space="preserve"> </w:t>
      </w:r>
      <w:proofErr w:type="spellStart"/>
      <w:r w:rsidRPr="00A53087">
        <w:t>campaigns</w:t>
      </w:r>
      <w:proofErr w:type="spellEnd"/>
      <w:r w:rsidRPr="00A53087">
        <w:t xml:space="preserve">. American </w:t>
      </w:r>
      <w:proofErr w:type="spellStart"/>
      <w:r w:rsidRPr="00A53087">
        <w:t>Behavioral</w:t>
      </w:r>
      <w:proofErr w:type="spellEnd"/>
      <w:r w:rsidRPr="00A53087">
        <w:t xml:space="preserve"> </w:t>
      </w:r>
      <w:proofErr w:type="spellStart"/>
      <w:r w:rsidRPr="00A53087">
        <w:t>Scientist</w:t>
      </w:r>
      <w:proofErr w:type="spellEnd"/>
      <w:r w:rsidRPr="00A53087">
        <w:t>, 56(3), 279-299.</w:t>
      </w:r>
    </w:p>
    <w:p w:rsidR="00BE4310" w:rsidRPr="002400EC" w:rsidRDefault="00BE4310" w:rsidP="00BE4310">
      <w:pPr>
        <w:pStyle w:val="12ptCar1CarCar1CarCar"/>
        <w:rPr>
          <w:rStyle w:val="goohl0"/>
          <w:rFonts w:ascii="Times New Roman" w:hAnsi="Times New Roman" w:cs="Times New Roman"/>
          <w:bCs/>
          <w:lang w:val="en-GB"/>
        </w:rPr>
      </w:pPr>
      <w:proofErr w:type="spellStart"/>
      <w:r w:rsidRPr="002400EC">
        <w:rPr>
          <w:rStyle w:val="goohl0"/>
          <w:rFonts w:ascii="Times New Roman" w:hAnsi="Times New Roman" w:cs="Times New Roman"/>
          <w:bCs/>
          <w:lang w:val="en-GB"/>
        </w:rPr>
        <w:t>Goffman</w:t>
      </w:r>
      <w:proofErr w:type="spellEnd"/>
      <w:r w:rsidRPr="002400EC">
        <w:rPr>
          <w:rStyle w:val="goohl0"/>
          <w:rFonts w:ascii="Times New Roman" w:hAnsi="Times New Roman" w:cs="Times New Roman"/>
          <w:bCs/>
          <w:lang w:val="en-GB"/>
        </w:rPr>
        <w:t xml:space="preserve">, E. (1974). </w:t>
      </w:r>
      <w:r w:rsidRPr="002400EC">
        <w:rPr>
          <w:rStyle w:val="goohl0"/>
          <w:rFonts w:ascii="Times New Roman" w:hAnsi="Times New Roman" w:cs="Times New Roman"/>
          <w:bCs/>
          <w:i/>
          <w:lang w:val="en-GB"/>
        </w:rPr>
        <w:t>Frame analysis: An essay on the organization of experience.</w:t>
      </w:r>
      <w:r w:rsidRPr="002400EC">
        <w:rPr>
          <w:rStyle w:val="goohl0"/>
          <w:rFonts w:ascii="Times New Roman" w:hAnsi="Times New Roman" w:cs="Times New Roman"/>
          <w:bCs/>
          <w:lang w:val="en-GB"/>
        </w:rPr>
        <w:t xml:space="preserve"> </w:t>
      </w:r>
      <w:smartTag w:uri="urn:schemas-microsoft-com:office:smarttags" w:element="City">
        <w:r w:rsidRPr="002400EC">
          <w:rPr>
            <w:rStyle w:val="goohl0"/>
            <w:rFonts w:ascii="Times New Roman" w:hAnsi="Times New Roman" w:cs="Times New Roman"/>
            <w:bCs/>
            <w:lang w:val="en-GB"/>
          </w:rPr>
          <w:t>Cambridge</w:t>
        </w:r>
      </w:smartTag>
      <w:r w:rsidRPr="002400EC">
        <w:rPr>
          <w:rStyle w:val="goohl0"/>
          <w:rFonts w:ascii="Times New Roman" w:hAnsi="Times New Roman" w:cs="Times New Roman"/>
          <w:bCs/>
          <w:lang w:val="en-GB"/>
        </w:rPr>
        <w:t xml:space="preserve">, </w:t>
      </w:r>
      <w:smartTag w:uri="urn:schemas-microsoft-com:office:smarttags" w:element="State">
        <w:r w:rsidRPr="002400EC">
          <w:rPr>
            <w:rStyle w:val="goohl0"/>
            <w:rFonts w:ascii="Times New Roman" w:hAnsi="Times New Roman" w:cs="Times New Roman"/>
            <w:bCs/>
            <w:lang w:val="en-GB"/>
          </w:rPr>
          <w:t>MA</w:t>
        </w:r>
      </w:smartTag>
      <w:r w:rsidRPr="002400EC">
        <w:rPr>
          <w:rStyle w:val="goohl0"/>
          <w:rFonts w:ascii="Times New Roman" w:hAnsi="Times New Roman" w:cs="Times New Roman"/>
          <w:bCs/>
          <w:lang w:val="en-GB"/>
        </w:rPr>
        <w:t xml:space="preserve">: </w:t>
      </w:r>
      <w:smartTag w:uri="urn:schemas-microsoft-com:office:smarttags" w:element="place">
        <w:smartTag w:uri="urn:schemas-microsoft-com:office:smarttags" w:element="PlaceName">
          <w:r w:rsidRPr="002400EC">
            <w:rPr>
              <w:rStyle w:val="goohl0"/>
              <w:rFonts w:ascii="Times New Roman" w:hAnsi="Times New Roman" w:cs="Times New Roman"/>
              <w:bCs/>
              <w:lang w:val="en-GB"/>
            </w:rPr>
            <w:t>Harvard</w:t>
          </w:r>
        </w:smartTag>
        <w:r w:rsidRPr="002400EC">
          <w:rPr>
            <w:rStyle w:val="goohl0"/>
            <w:rFonts w:ascii="Times New Roman" w:hAnsi="Times New Roman" w:cs="Times New Roman"/>
            <w:bCs/>
            <w:lang w:val="en-GB"/>
          </w:rPr>
          <w:t xml:space="preserve"> </w:t>
        </w:r>
        <w:smartTag w:uri="urn:schemas-microsoft-com:office:smarttags" w:element="PlaceType">
          <w:r w:rsidRPr="002400EC">
            <w:rPr>
              <w:rStyle w:val="goohl0"/>
              <w:rFonts w:ascii="Times New Roman" w:hAnsi="Times New Roman" w:cs="Times New Roman"/>
              <w:bCs/>
              <w:lang w:val="en-GB"/>
            </w:rPr>
            <w:t>University</w:t>
          </w:r>
        </w:smartTag>
      </w:smartTag>
      <w:r w:rsidRPr="002400EC">
        <w:rPr>
          <w:rStyle w:val="goohl0"/>
          <w:rFonts w:ascii="Times New Roman" w:hAnsi="Times New Roman" w:cs="Times New Roman"/>
          <w:bCs/>
          <w:lang w:val="en-GB"/>
        </w:rPr>
        <w:t xml:space="preserve"> Press.</w:t>
      </w:r>
    </w:p>
    <w:p w:rsidR="00B873DD" w:rsidRPr="00A53087" w:rsidRDefault="00B873DD" w:rsidP="00BE4310">
      <w:pPr>
        <w:ind w:left="567" w:hanging="567"/>
        <w:jc w:val="both"/>
      </w:pPr>
      <w:proofErr w:type="spellStart"/>
      <w:r w:rsidRPr="00A53087">
        <w:t>Hänggli</w:t>
      </w:r>
      <w:proofErr w:type="spellEnd"/>
      <w:r w:rsidRPr="00A53087">
        <w:t xml:space="preserve">, R. y </w:t>
      </w:r>
      <w:proofErr w:type="spellStart"/>
      <w:r w:rsidRPr="00A53087">
        <w:t>Kriesi</w:t>
      </w:r>
      <w:proofErr w:type="spellEnd"/>
      <w:r w:rsidRPr="00A53087">
        <w:t xml:space="preserve">, H. (2012). </w:t>
      </w:r>
      <w:proofErr w:type="spellStart"/>
      <w:r w:rsidRPr="00A53087">
        <w:rPr>
          <w:i/>
        </w:rPr>
        <w:t>Frame</w:t>
      </w:r>
      <w:proofErr w:type="spellEnd"/>
      <w:r w:rsidRPr="00A53087">
        <w:t xml:space="preserve"> </w:t>
      </w:r>
      <w:proofErr w:type="spellStart"/>
      <w:r w:rsidRPr="00A53087">
        <w:t>construction</w:t>
      </w:r>
      <w:proofErr w:type="spellEnd"/>
      <w:r w:rsidRPr="00A53087">
        <w:t xml:space="preserve"> and </w:t>
      </w:r>
      <w:proofErr w:type="spellStart"/>
      <w:r w:rsidRPr="00A53087">
        <w:rPr>
          <w:i/>
        </w:rPr>
        <w:t>frame</w:t>
      </w:r>
      <w:proofErr w:type="spellEnd"/>
      <w:r w:rsidRPr="00A53087">
        <w:t xml:space="preserve"> </w:t>
      </w:r>
      <w:proofErr w:type="spellStart"/>
      <w:r w:rsidRPr="00A53087">
        <w:t>promotion</w:t>
      </w:r>
      <w:proofErr w:type="spellEnd"/>
      <w:r w:rsidRPr="00A53087">
        <w:t xml:space="preserve"> (</w:t>
      </w:r>
      <w:proofErr w:type="spellStart"/>
      <w:r w:rsidRPr="00A53087">
        <w:t>strategic</w:t>
      </w:r>
      <w:proofErr w:type="spellEnd"/>
      <w:r w:rsidRPr="00A53087">
        <w:t xml:space="preserve"> </w:t>
      </w:r>
      <w:proofErr w:type="spellStart"/>
      <w:r w:rsidRPr="00A53087">
        <w:rPr>
          <w:i/>
        </w:rPr>
        <w:t>framing</w:t>
      </w:r>
      <w:proofErr w:type="spellEnd"/>
      <w:r w:rsidRPr="00A53087">
        <w:t xml:space="preserve"> </w:t>
      </w:r>
      <w:proofErr w:type="spellStart"/>
      <w:r w:rsidRPr="00A53087">
        <w:t>choices</w:t>
      </w:r>
      <w:proofErr w:type="spellEnd"/>
      <w:r w:rsidRPr="00A53087">
        <w:t xml:space="preserve">). American </w:t>
      </w:r>
      <w:proofErr w:type="spellStart"/>
      <w:r w:rsidRPr="00A53087">
        <w:t>Behavioral</w:t>
      </w:r>
      <w:proofErr w:type="spellEnd"/>
      <w:r w:rsidRPr="00A53087">
        <w:t xml:space="preserve"> </w:t>
      </w:r>
      <w:proofErr w:type="spellStart"/>
      <w:r w:rsidRPr="00A53087">
        <w:t>Scientist</w:t>
      </w:r>
      <w:proofErr w:type="spellEnd"/>
      <w:r w:rsidRPr="00A53087">
        <w:t>, 56(3), 260-278.</w:t>
      </w:r>
    </w:p>
    <w:p w:rsidR="00BE4310" w:rsidRPr="00800BD2" w:rsidRDefault="00BE4310" w:rsidP="00BE4310">
      <w:pPr>
        <w:ind w:left="284" w:hanging="284"/>
        <w:jc w:val="both"/>
      </w:pPr>
      <w:r w:rsidRPr="00800BD2">
        <w:t xml:space="preserve">Igartua, J. J. y Humanes, M. L. (Eds.) (2004). </w:t>
      </w:r>
      <w:r w:rsidRPr="00800BD2">
        <w:rPr>
          <w:i/>
        </w:rPr>
        <w:t>Teoría e investigación en comunicación social.</w:t>
      </w:r>
      <w:r w:rsidRPr="00800BD2">
        <w:t xml:space="preserve"> Madrid: Síntesis.</w:t>
      </w:r>
    </w:p>
    <w:p w:rsidR="00B873DD" w:rsidRPr="00A53087" w:rsidRDefault="00B873DD" w:rsidP="00BE4310">
      <w:pPr>
        <w:ind w:left="567" w:hanging="567"/>
        <w:jc w:val="both"/>
      </w:pPr>
      <w:r w:rsidRPr="00A53087">
        <w:t xml:space="preserve">Kim, S. (2009). </w:t>
      </w:r>
      <w:proofErr w:type="spellStart"/>
      <w:r w:rsidRPr="00A53087">
        <w:t>Different</w:t>
      </w:r>
      <w:proofErr w:type="spellEnd"/>
      <w:r w:rsidRPr="00A53087">
        <w:t xml:space="preserve"> </w:t>
      </w:r>
      <w:proofErr w:type="spellStart"/>
      <w:r w:rsidRPr="00A53087">
        <w:t>perspectives</w:t>
      </w:r>
      <w:proofErr w:type="spellEnd"/>
      <w:r w:rsidRPr="00A53087">
        <w:t xml:space="preserve">, </w:t>
      </w:r>
      <w:proofErr w:type="spellStart"/>
      <w:r w:rsidRPr="00A53087">
        <w:t>different</w:t>
      </w:r>
      <w:proofErr w:type="spellEnd"/>
      <w:r w:rsidRPr="00A53087">
        <w:t xml:space="preserve"> </w:t>
      </w:r>
      <w:proofErr w:type="spellStart"/>
      <w:r w:rsidRPr="00A53087">
        <w:t>coverage</w:t>
      </w:r>
      <w:proofErr w:type="spellEnd"/>
      <w:r w:rsidRPr="00A53087">
        <w:t xml:space="preserve">: </w:t>
      </w:r>
      <w:proofErr w:type="spellStart"/>
      <w:r w:rsidRPr="00A53087">
        <w:t>An</w:t>
      </w:r>
      <w:proofErr w:type="spellEnd"/>
      <w:r w:rsidRPr="00A53087">
        <w:t xml:space="preserve"> </w:t>
      </w:r>
      <w:proofErr w:type="spellStart"/>
      <w:r w:rsidRPr="00A53087">
        <w:t>exploratory</w:t>
      </w:r>
      <w:proofErr w:type="spellEnd"/>
      <w:r w:rsidRPr="00A53087">
        <w:t xml:space="preserve"> </w:t>
      </w:r>
      <w:proofErr w:type="spellStart"/>
      <w:r w:rsidRPr="00A53087">
        <w:t>analysis</w:t>
      </w:r>
      <w:proofErr w:type="spellEnd"/>
      <w:r w:rsidRPr="00A53087">
        <w:t xml:space="preserve"> of </w:t>
      </w:r>
      <w:proofErr w:type="spellStart"/>
      <w:r w:rsidRPr="00A53087">
        <w:t>news</w:t>
      </w:r>
      <w:proofErr w:type="spellEnd"/>
      <w:r w:rsidRPr="00A53087">
        <w:t xml:space="preserve"> </w:t>
      </w:r>
      <w:proofErr w:type="spellStart"/>
      <w:r w:rsidRPr="00A53087">
        <w:t>coverage</w:t>
      </w:r>
      <w:proofErr w:type="spellEnd"/>
      <w:r w:rsidRPr="00A53087">
        <w:t xml:space="preserve"> of </w:t>
      </w:r>
      <w:proofErr w:type="spellStart"/>
      <w:r w:rsidRPr="00A53087">
        <w:t>presidential</w:t>
      </w:r>
      <w:proofErr w:type="spellEnd"/>
      <w:r w:rsidRPr="00A53087">
        <w:t xml:space="preserve"> </w:t>
      </w:r>
      <w:proofErr w:type="spellStart"/>
      <w:r w:rsidRPr="00A53087">
        <w:t>candidates</w:t>
      </w:r>
      <w:proofErr w:type="spellEnd"/>
      <w:r w:rsidRPr="00A53087">
        <w:t xml:space="preserve"> in 2008 </w:t>
      </w:r>
      <w:proofErr w:type="spellStart"/>
      <w:r w:rsidRPr="00A53087">
        <w:t>presidential</w:t>
      </w:r>
      <w:proofErr w:type="spellEnd"/>
      <w:r w:rsidRPr="00A53087">
        <w:t xml:space="preserve"> </w:t>
      </w:r>
      <w:proofErr w:type="spellStart"/>
      <w:r w:rsidRPr="00A53087">
        <w:t>election</w:t>
      </w:r>
      <w:proofErr w:type="spellEnd"/>
      <w:r w:rsidRPr="00A53087">
        <w:t xml:space="preserve">. Ponencia presentada en el 7th International </w:t>
      </w:r>
      <w:proofErr w:type="spellStart"/>
      <w:r w:rsidRPr="00A53087">
        <w:t>Symposium</w:t>
      </w:r>
      <w:proofErr w:type="spellEnd"/>
      <w:r w:rsidRPr="00A53087">
        <w:t xml:space="preserve"> </w:t>
      </w:r>
      <w:proofErr w:type="spellStart"/>
      <w:r w:rsidRPr="00A53087">
        <w:t>Communication</w:t>
      </w:r>
      <w:proofErr w:type="spellEnd"/>
      <w:r w:rsidRPr="00A53087">
        <w:t xml:space="preserve"> in </w:t>
      </w:r>
      <w:proofErr w:type="spellStart"/>
      <w:r w:rsidRPr="00A53087">
        <w:t>the</w:t>
      </w:r>
      <w:proofErr w:type="spellEnd"/>
      <w:r w:rsidRPr="00A53087">
        <w:t xml:space="preserve"> Millennium, Austin. Texas.</w:t>
      </w:r>
    </w:p>
    <w:p w:rsidR="00B873DD" w:rsidRPr="00A53087" w:rsidRDefault="00B873DD" w:rsidP="00BE4310">
      <w:pPr>
        <w:ind w:left="567" w:hanging="567"/>
        <w:jc w:val="both"/>
      </w:pPr>
      <w:proofErr w:type="spellStart"/>
      <w:r w:rsidRPr="00A53087">
        <w:t>Krippendorff</w:t>
      </w:r>
      <w:proofErr w:type="spellEnd"/>
      <w:r w:rsidRPr="00A53087">
        <w:t xml:space="preserve">, K. (1990). </w:t>
      </w:r>
      <w:r w:rsidRPr="00A53087">
        <w:rPr>
          <w:i/>
        </w:rPr>
        <w:t>Metodología del análisis de contenido. Teoría y práctica.</w:t>
      </w:r>
      <w:r w:rsidRPr="00A53087">
        <w:t xml:space="preserve"> Barcelona: </w:t>
      </w:r>
      <w:proofErr w:type="spellStart"/>
      <w:r w:rsidRPr="00A53087">
        <w:t>Paidós</w:t>
      </w:r>
      <w:proofErr w:type="spellEnd"/>
      <w:r w:rsidRPr="00A53087">
        <w:t>.</w:t>
      </w:r>
    </w:p>
    <w:p w:rsidR="00B873DD" w:rsidRPr="00A53087" w:rsidRDefault="00B873DD" w:rsidP="00BE4310">
      <w:pPr>
        <w:ind w:left="567" w:hanging="567"/>
        <w:jc w:val="both"/>
      </w:pPr>
      <w:proofErr w:type="spellStart"/>
      <w:r w:rsidRPr="00A53087">
        <w:t>Matthes</w:t>
      </w:r>
      <w:proofErr w:type="spellEnd"/>
      <w:r w:rsidRPr="00A53087">
        <w:t xml:space="preserve">, J. (2012). </w:t>
      </w:r>
      <w:proofErr w:type="spellStart"/>
      <w:r w:rsidRPr="00A53087">
        <w:rPr>
          <w:i/>
        </w:rPr>
        <w:t>Framing</w:t>
      </w:r>
      <w:proofErr w:type="spellEnd"/>
      <w:r w:rsidRPr="00A53087">
        <w:t xml:space="preserve"> </w:t>
      </w:r>
      <w:proofErr w:type="spellStart"/>
      <w:r w:rsidRPr="00A53087">
        <w:t>politics</w:t>
      </w:r>
      <w:proofErr w:type="spellEnd"/>
      <w:r w:rsidRPr="00A53087">
        <w:t xml:space="preserve">: </w:t>
      </w:r>
      <w:proofErr w:type="spellStart"/>
      <w:r w:rsidRPr="00A53087">
        <w:t>An</w:t>
      </w:r>
      <w:proofErr w:type="spellEnd"/>
      <w:r w:rsidRPr="00A53087">
        <w:t xml:space="preserve"> </w:t>
      </w:r>
      <w:proofErr w:type="spellStart"/>
      <w:r w:rsidRPr="00A53087">
        <w:t>integrative</w:t>
      </w:r>
      <w:proofErr w:type="spellEnd"/>
      <w:r w:rsidRPr="00A53087">
        <w:t xml:space="preserve"> </w:t>
      </w:r>
      <w:proofErr w:type="spellStart"/>
      <w:r w:rsidRPr="00A53087">
        <w:t>approach</w:t>
      </w:r>
      <w:proofErr w:type="spellEnd"/>
      <w:r w:rsidRPr="00A53087">
        <w:t xml:space="preserve">. American </w:t>
      </w:r>
      <w:proofErr w:type="spellStart"/>
      <w:r w:rsidRPr="00A53087">
        <w:t>Behavioral</w:t>
      </w:r>
      <w:proofErr w:type="spellEnd"/>
      <w:r w:rsidRPr="00A53087">
        <w:t xml:space="preserve"> </w:t>
      </w:r>
      <w:proofErr w:type="spellStart"/>
      <w:r w:rsidRPr="00A53087">
        <w:t>Scientist</w:t>
      </w:r>
      <w:proofErr w:type="spellEnd"/>
      <w:r w:rsidRPr="00A53087">
        <w:t>, 56(3), 247-259.</w:t>
      </w:r>
    </w:p>
    <w:p w:rsidR="00B873DD" w:rsidRPr="00A53087" w:rsidRDefault="00B873DD" w:rsidP="00BE4310">
      <w:pPr>
        <w:ind w:left="567" w:hanging="567"/>
        <w:jc w:val="both"/>
      </w:pPr>
      <w:r w:rsidRPr="00A53087">
        <w:t xml:space="preserve">Muñiz, C. (2012). </w:t>
      </w:r>
      <w:bookmarkStart w:id="2" w:name="OLE_LINK24"/>
      <w:r w:rsidRPr="00A53087">
        <w:t>Creando ciudadanos comprometidos. Aportación de los hábitos comunicativos al desarrollo de la sofisticación política entre los jóvenes</w:t>
      </w:r>
      <w:bookmarkEnd w:id="2"/>
      <w:r w:rsidRPr="00A53087">
        <w:t xml:space="preserve">. </w:t>
      </w:r>
      <w:r w:rsidRPr="00A53087">
        <w:rPr>
          <w:i/>
        </w:rPr>
        <w:t xml:space="preserve">Revista Mexicana de Opinión Pública, 12, </w:t>
      </w:r>
      <w:r w:rsidRPr="00A53087">
        <w:t>55-74.</w:t>
      </w:r>
    </w:p>
    <w:p w:rsidR="00BE4310" w:rsidRPr="002400EC" w:rsidRDefault="00BE4310" w:rsidP="00BE4310">
      <w:pPr>
        <w:pStyle w:val="12ptCar1CarCar1CarCar"/>
        <w:rPr>
          <w:rFonts w:ascii="Times New Roman" w:hAnsi="Times New Roman" w:cs="Times New Roman"/>
          <w:lang w:val="en-GB"/>
        </w:rPr>
      </w:pPr>
      <w:proofErr w:type="spellStart"/>
      <w:r w:rsidRPr="00223C11">
        <w:rPr>
          <w:rFonts w:ascii="Times New Roman" w:hAnsi="Times New Roman" w:cs="Times New Roman"/>
          <w:lang w:val="en-GB"/>
        </w:rPr>
        <w:t>Nabi</w:t>
      </w:r>
      <w:proofErr w:type="spellEnd"/>
      <w:r w:rsidRPr="00223C11">
        <w:rPr>
          <w:rFonts w:ascii="Times New Roman" w:hAnsi="Times New Roman" w:cs="Times New Roman"/>
          <w:lang w:val="en-GB"/>
        </w:rPr>
        <w:t xml:space="preserve">, R. L. (2003). </w:t>
      </w:r>
      <w:r w:rsidRPr="002400EC">
        <w:rPr>
          <w:rFonts w:ascii="Times New Roman" w:hAnsi="Times New Roman" w:cs="Times New Roman"/>
          <w:lang w:val="en-GB"/>
        </w:rPr>
        <w:t xml:space="preserve">Exploring the Framing effects of emotion: Do discrete emotions differentially influence information accessibility, information seeking, and policy preference? </w:t>
      </w:r>
      <w:r w:rsidRPr="002400EC">
        <w:rPr>
          <w:rFonts w:ascii="Times New Roman" w:hAnsi="Times New Roman" w:cs="Times New Roman"/>
          <w:i/>
          <w:lang w:val="en-GB"/>
        </w:rPr>
        <w:t>Communication Research, 30</w:t>
      </w:r>
      <w:r w:rsidRPr="002400EC">
        <w:rPr>
          <w:rFonts w:ascii="Times New Roman" w:hAnsi="Times New Roman" w:cs="Times New Roman"/>
          <w:lang w:val="en-GB"/>
        </w:rPr>
        <w:t>, 224-247.</w:t>
      </w:r>
    </w:p>
    <w:p w:rsidR="00BE4310" w:rsidRPr="002400EC" w:rsidRDefault="00BE4310" w:rsidP="00BE4310">
      <w:pPr>
        <w:pStyle w:val="12ptCar1CarCar1CarCar"/>
        <w:rPr>
          <w:rFonts w:ascii="Times New Roman" w:hAnsi="Times New Roman" w:cs="Times New Roman"/>
          <w:bCs/>
          <w:lang w:val="en-GB"/>
        </w:rPr>
      </w:pPr>
      <w:r w:rsidRPr="00863CF6">
        <w:rPr>
          <w:rFonts w:ascii="Times New Roman" w:hAnsi="Times New Roman" w:cs="Times New Roman"/>
          <w:bCs/>
          <w:lang w:val="en-GB"/>
        </w:rPr>
        <w:t xml:space="preserve">Reese, S. D. (2001). Framing public life: A bridging model for media research. En S. D. Reese, O. H. Gandy y A. E. Grant (Eds.), </w:t>
      </w:r>
      <w:r w:rsidRPr="00863CF6">
        <w:rPr>
          <w:rFonts w:ascii="Times New Roman" w:hAnsi="Times New Roman" w:cs="Times New Roman"/>
          <w:bCs/>
          <w:i/>
          <w:lang w:val="en-GB"/>
        </w:rPr>
        <w:t xml:space="preserve">Framing public life. </w:t>
      </w:r>
      <w:r w:rsidRPr="002400EC">
        <w:rPr>
          <w:rFonts w:ascii="Times New Roman" w:hAnsi="Times New Roman" w:cs="Times New Roman"/>
          <w:bCs/>
          <w:i/>
          <w:lang w:val="en-GB"/>
        </w:rPr>
        <w:t>Perspectives on media and our understanding of the social world</w:t>
      </w:r>
      <w:r w:rsidRPr="002400EC">
        <w:rPr>
          <w:rFonts w:ascii="Times New Roman" w:hAnsi="Times New Roman" w:cs="Times New Roman"/>
          <w:bCs/>
          <w:lang w:val="en-GB"/>
        </w:rPr>
        <w:t xml:space="preserve"> (pp. 7-31). </w:t>
      </w:r>
      <w:smartTag w:uri="urn:schemas-microsoft-com:office:smarttags" w:element="City">
        <w:r w:rsidRPr="002400EC">
          <w:rPr>
            <w:rFonts w:ascii="Times New Roman" w:hAnsi="Times New Roman" w:cs="Times New Roman"/>
            <w:bCs/>
            <w:lang w:val="en-GB"/>
          </w:rPr>
          <w:t>Mahwah</w:t>
        </w:r>
      </w:smartTag>
      <w:r w:rsidRPr="002400EC">
        <w:rPr>
          <w:rFonts w:ascii="Times New Roman" w:hAnsi="Times New Roman" w:cs="Times New Roman"/>
          <w:bCs/>
          <w:lang w:val="en-GB"/>
        </w:rPr>
        <w:t xml:space="preserve">, </w:t>
      </w:r>
      <w:smartTag w:uri="urn:schemas-microsoft-com:office:smarttags" w:element="State">
        <w:r w:rsidRPr="002400EC">
          <w:rPr>
            <w:rFonts w:ascii="Times New Roman" w:hAnsi="Times New Roman" w:cs="Times New Roman"/>
            <w:bCs/>
            <w:lang w:val="en-GB"/>
          </w:rPr>
          <w:t>NJ</w:t>
        </w:r>
      </w:smartTag>
      <w:r w:rsidRPr="002400EC">
        <w:rPr>
          <w:rFonts w:ascii="Times New Roman" w:hAnsi="Times New Roman" w:cs="Times New Roman"/>
          <w:bCs/>
          <w:lang w:val="en-GB"/>
        </w:rPr>
        <w:t xml:space="preserve">: </w:t>
      </w:r>
      <w:smartTag w:uri="urn:schemas-microsoft-com:office:smarttags" w:element="City">
        <w:smartTag w:uri="urn:schemas-microsoft-com:office:smarttags" w:element="place">
          <w:r w:rsidRPr="002400EC">
            <w:rPr>
              <w:rFonts w:ascii="Times New Roman" w:hAnsi="Times New Roman" w:cs="Times New Roman"/>
              <w:bCs/>
              <w:lang w:val="en-GB"/>
            </w:rPr>
            <w:t>Lawrence</w:t>
          </w:r>
        </w:smartTag>
      </w:smartTag>
      <w:r w:rsidRPr="002400EC">
        <w:rPr>
          <w:rFonts w:ascii="Times New Roman" w:hAnsi="Times New Roman" w:cs="Times New Roman"/>
          <w:bCs/>
          <w:lang w:val="en-GB"/>
        </w:rPr>
        <w:t xml:space="preserve"> Erlbaum Associates.</w:t>
      </w:r>
    </w:p>
    <w:p w:rsidR="00B873DD" w:rsidRPr="00A53087" w:rsidRDefault="00B873DD" w:rsidP="00BE4310">
      <w:pPr>
        <w:ind w:left="567" w:hanging="567"/>
        <w:jc w:val="both"/>
      </w:pPr>
      <w:proofErr w:type="spellStart"/>
      <w:r w:rsidRPr="00A53087">
        <w:t>Rhee</w:t>
      </w:r>
      <w:proofErr w:type="spellEnd"/>
      <w:r w:rsidRPr="00A53087">
        <w:t xml:space="preserve">, J. W. (1997). </w:t>
      </w:r>
      <w:proofErr w:type="spellStart"/>
      <w:r w:rsidRPr="00A53087">
        <w:t>Strategy</w:t>
      </w:r>
      <w:proofErr w:type="spellEnd"/>
      <w:r w:rsidRPr="00A53087">
        <w:t xml:space="preserve"> and </w:t>
      </w:r>
      <w:proofErr w:type="spellStart"/>
      <w:r w:rsidRPr="00A53087">
        <w:t>issue</w:t>
      </w:r>
      <w:proofErr w:type="spellEnd"/>
      <w:r w:rsidRPr="00A53087">
        <w:t xml:space="preserve"> </w:t>
      </w:r>
      <w:proofErr w:type="spellStart"/>
      <w:r w:rsidRPr="00A53087">
        <w:rPr>
          <w:i/>
        </w:rPr>
        <w:t>frames</w:t>
      </w:r>
      <w:proofErr w:type="spellEnd"/>
      <w:r w:rsidRPr="00A53087">
        <w:t xml:space="preserve"> in </w:t>
      </w:r>
      <w:proofErr w:type="spellStart"/>
      <w:r w:rsidRPr="00A53087">
        <w:t>election</w:t>
      </w:r>
      <w:proofErr w:type="spellEnd"/>
      <w:r w:rsidRPr="00A53087">
        <w:t xml:space="preserve"> </w:t>
      </w:r>
      <w:proofErr w:type="spellStart"/>
      <w:r w:rsidRPr="00A53087">
        <w:t>campaign</w:t>
      </w:r>
      <w:proofErr w:type="spellEnd"/>
      <w:r w:rsidRPr="00A53087">
        <w:t xml:space="preserve"> </w:t>
      </w:r>
      <w:proofErr w:type="spellStart"/>
      <w:r w:rsidRPr="00A53087">
        <w:t>coverage</w:t>
      </w:r>
      <w:proofErr w:type="spellEnd"/>
      <w:r w:rsidRPr="00A53087">
        <w:t xml:space="preserve">: A social </w:t>
      </w:r>
      <w:proofErr w:type="spellStart"/>
      <w:r w:rsidRPr="00A53087">
        <w:t>cognitive</w:t>
      </w:r>
      <w:proofErr w:type="spellEnd"/>
      <w:r w:rsidRPr="00A53087">
        <w:t xml:space="preserve"> </w:t>
      </w:r>
      <w:proofErr w:type="spellStart"/>
      <w:r w:rsidRPr="00A53087">
        <w:t>account</w:t>
      </w:r>
      <w:proofErr w:type="spellEnd"/>
      <w:r w:rsidRPr="00A53087">
        <w:t xml:space="preserve"> of </w:t>
      </w:r>
      <w:proofErr w:type="spellStart"/>
      <w:r w:rsidRPr="00A53087">
        <w:rPr>
          <w:i/>
        </w:rPr>
        <w:t>Framing</w:t>
      </w:r>
      <w:proofErr w:type="spellEnd"/>
      <w:r w:rsidRPr="00A53087">
        <w:t xml:space="preserve"> </w:t>
      </w:r>
      <w:proofErr w:type="spellStart"/>
      <w:r w:rsidRPr="00A53087">
        <w:t>effects</w:t>
      </w:r>
      <w:proofErr w:type="spellEnd"/>
      <w:r w:rsidRPr="00A53087">
        <w:t xml:space="preserve">. </w:t>
      </w:r>
      <w:proofErr w:type="spellStart"/>
      <w:r w:rsidRPr="00A53087">
        <w:t>Journal</w:t>
      </w:r>
      <w:proofErr w:type="spellEnd"/>
      <w:r w:rsidRPr="00A53087">
        <w:t xml:space="preserve"> of </w:t>
      </w:r>
      <w:proofErr w:type="spellStart"/>
      <w:r w:rsidRPr="00A53087">
        <w:t>Communication</w:t>
      </w:r>
      <w:proofErr w:type="spellEnd"/>
      <w:r w:rsidRPr="00A53087">
        <w:t>, 47(3), 26-48.</w:t>
      </w:r>
    </w:p>
    <w:p w:rsidR="00BE4310" w:rsidRPr="002400EC" w:rsidRDefault="00BE4310" w:rsidP="00BE4310">
      <w:pPr>
        <w:ind w:left="284" w:hanging="284"/>
        <w:jc w:val="both"/>
      </w:pPr>
      <w:r w:rsidRPr="002400EC">
        <w:rPr>
          <w:iCs/>
          <w:lang w:val="en-GB"/>
        </w:rPr>
        <w:t xml:space="preserve">Ross, S. D. (2003). </w:t>
      </w:r>
      <w:r w:rsidRPr="002400EC">
        <w:rPr>
          <w:bCs/>
          <w:lang w:val="en-GB"/>
        </w:rPr>
        <w:t xml:space="preserve">Framing of the Palestinian-Israeli conflict in thirteen months of New York Times editorials surrounding the attack of September 11, 2001. </w:t>
      </w:r>
      <w:proofErr w:type="spellStart"/>
      <w:r w:rsidRPr="002400EC">
        <w:rPr>
          <w:bCs/>
          <w:i/>
        </w:rPr>
        <w:t>Conflict</w:t>
      </w:r>
      <w:proofErr w:type="spellEnd"/>
      <w:r w:rsidRPr="002400EC">
        <w:rPr>
          <w:bCs/>
          <w:i/>
        </w:rPr>
        <w:t xml:space="preserve"> and </w:t>
      </w:r>
      <w:proofErr w:type="spellStart"/>
      <w:r w:rsidRPr="002400EC">
        <w:rPr>
          <w:bCs/>
          <w:i/>
        </w:rPr>
        <w:t>communication</w:t>
      </w:r>
      <w:proofErr w:type="spellEnd"/>
      <w:r w:rsidRPr="002400EC">
        <w:rPr>
          <w:bCs/>
          <w:i/>
        </w:rPr>
        <w:t xml:space="preserve"> online </w:t>
      </w:r>
      <w:r w:rsidRPr="002400EC">
        <w:t xml:space="preserve">[Revista electrónica], </w:t>
      </w:r>
      <w:r w:rsidRPr="002400EC">
        <w:rPr>
          <w:i/>
        </w:rPr>
        <w:t>2</w:t>
      </w:r>
      <w:r w:rsidRPr="002400EC">
        <w:t xml:space="preserve">(2). </w:t>
      </w:r>
      <w:r>
        <w:t>Recuperado desde</w:t>
      </w:r>
      <w:r w:rsidRPr="002400EC">
        <w:t xml:space="preserve">: </w:t>
      </w:r>
      <w:r w:rsidRPr="00A96521">
        <w:t>http://www.cco.regener-online.de</w:t>
      </w:r>
      <w:r w:rsidRPr="002400EC">
        <w:t xml:space="preserve"> </w:t>
      </w:r>
    </w:p>
    <w:p w:rsidR="00BE4310" w:rsidRPr="00D97DAD" w:rsidRDefault="00BE4310" w:rsidP="00BE4310">
      <w:pPr>
        <w:pStyle w:val="NormalArial"/>
        <w:rPr>
          <w:rFonts w:ascii="Times New Roman" w:hAnsi="Times New Roman" w:cs="Times New Roman"/>
          <w:lang w:val="es-ES"/>
        </w:rPr>
      </w:pPr>
      <w:proofErr w:type="spellStart"/>
      <w:r w:rsidRPr="002400EC">
        <w:rPr>
          <w:rFonts w:ascii="Times New Roman" w:hAnsi="Times New Roman" w:cs="Times New Roman"/>
          <w:lang w:val="es-ES"/>
        </w:rPr>
        <w:t>Sádaba</w:t>
      </w:r>
      <w:proofErr w:type="spellEnd"/>
      <w:r w:rsidRPr="002400EC">
        <w:rPr>
          <w:rFonts w:ascii="Times New Roman" w:hAnsi="Times New Roman" w:cs="Times New Roman"/>
          <w:lang w:val="es-ES"/>
        </w:rPr>
        <w:t xml:space="preserve">, M. T. (2001). Origen, aplicación y límites de la </w:t>
      </w:r>
      <w:r>
        <w:rPr>
          <w:rFonts w:ascii="Times New Roman" w:hAnsi="Times New Roman" w:cs="Times New Roman"/>
          <w:lang w:val="es-ES"/>
        </w:rPr>
        <w:t>“</w:t>
      </w:r>
      <w:r w:rsidRPr="002400EC">
        <w:rPr>
          <w:rFonts w:ascii="Times New Roman" w:hAnsi="Times New Roman" w:cs="Times New Roman"/>
          <w:lang w:val="es-ES"/>
        </w:rPr>
        <w:t>teoría del encuadre</w:t>
      </w:r>
      <w:r>
        <w:rPr>
          <w:rFonts w:ascii="Times New Roman" w:hAnsi="Times New Roman" w:cs="Times New Roman"/>
          <w:lang w:val="es-ES"/>
        </w:rPr>
        <w:t>”</w:t>
      </w:r>
      <w:r w:rsidRPr="002400EC">
        <w:rPr>
          <w:rFonts w:ascii="Times New Roman" w:hAnsi="Times New Roman" w:cs="Times New Roman"/>
          <w:lang w:val="es-ES"/>
        </w:rPr>
        <w:t xml:space="preserve"> (</w:t>
      </w:r>
      <w:proofErr w:type="spellStart"/>
      <w:r w:rsidRPr="002400EC">
        <w:rPr>
          <w:rFonts w:ascii="Times New Roman" w:hAnsi="Times New Roman" w:cs="Times New Roman"/>
          <w:lang w:val="es-ES"/>
        </w:rPr>
        <w:t>Framing</w:t>
      </w:r>
      <w:proofErr w:type="spellEnd"/>
      <w:r w:rsidRPr="002400EC">
        <w:rPr>
          <w:rFonts w:ascii="Times New Roman" w:hAnsi="Times New Roman" w:cs="Times New Roman"/>
          <w:lang w:val="es-ES"/>
        </w:rPr>
        <w:t xml:space="preserve">) en comunicación. </w:t>
      </w:r>
      <w:r w:rsidRPr="002400EC">
        <w:rPr>
          <w:rFonts w:ascii="Times New Roman" w:hAnsi="Times New Roman" w:cs="Times New Roman"/>
          <w:i/>
          <w:lang w:val="es-ES"/>
        </w:rPr>
        <w:t>Comunicación y Sociedad, 14</w:t>
      </w:r>
      <w:r w:rsidRPr="002400EC">
        <w:rPr>
          <w:rFonts w:ascii="Times New Roman" w:hAnsi="Times New Roman" w:cs="Times New Roman"/>
          <w:lang w:val="es-ES"/>
        </w:rPr>
        <w:t>(2), 143-</w:t>
      </w:r>
      <w:r w:rsidRPr="00D97DAD">
        <w:rPr>
          <w:rFonts w:ascii="Times New Roman" w:hAnsi="Times New Roman" w:cs="Times New Roman"/>
          <w:lang w:val="es-ES"/>
        </w:rPr>
        <w:t>175.</w:t>
      </w:r>
    </w:p>
    <w:p w:rsidR="00BE4310" w:rsidRPr="002400EC" w:rsidRDefault="00BE4310" w:rsidP="00BE4310">
      <w:pPr>
        <w:pStyle w:val="NormalArial"/>
        <w:rPr>
          <w:rFonts w:ascii="Times New Roman" w:hAnsi="Times New Roman" w:cs="Times New Roman"/>
          <w:lang w:val="en-GB"/>
        </w:rPr>
      </w:pPr>
      <w:proofErr w:type="spellStart"/>
      <w:r w:rsidRPr="002400EC">
        <w:rPr>
          <w:rFonts w:ascii="Times New Roman" w:hAnsi="Times New Roman" w:cs="Times New Roman"/>
          <w:lang w:val="en-GB"/>
        </w:rPr>
        <w:t>Scheufele</w:t>
      </w:r>
      <w:proofErr w:type="spellEnd"/>
      <w:r w:rsidRPr="002400EC">
        <w:rPr>
          <w:rFonts w:ascii="Times New Roman" w:hAnsi="Times New Roman" w:cs="Times New Roman"/>
          <w:lang w:val="en-GB"/>
        </w:rPr>
        <w:t xml:space="preserve">, B. (2004). Framing-effects approach: A theoretical and methodological critique. </w:t>
      </w:r>
      <w:r w:rsidRPr="002400EC">
        <w:rPr>
          <w:rFonts w:ascii="Times New Roman" w:hAnsi="Times New Roman" w:cs="Times New Roman"/>
          <w:i/>
          <w:lang w:val="en-GB"/>
        </w:rPr>
        <w:t>Communications: The European Journal of Communication Research, 29</w:t>
      </w:r>
      <w:r w:rsidRPr="002400EC">
        <w:rPr>
          <w:rFonts w:ascii="Times New Roman" w:hAnsi="Times New Roman" w:cs="Times New Roman"/>
          <w:lang w:val="en-GB"/>
        </w:rPr>
        <w:t>, 401-428.</w:t>
      </w:r>
    </w:p>
    <w:p w:rsidR="00B873DD" w:rsidRPr="00A53087" w:rsidRDefault="00B873DD" w:rsidP="00BE4310">
      <w:pPr>
        <w:ind w:left="567" w:hanging="567"/>
        <w:jc w:val="both"/>
      </w:pPr>
      <w:proofErr w:type="spellStart"/>
      <w:r w:rsidRPr="00A53087">
        <w:t>Scheufele</w:t>
      </w:r>
      <w:proofErr w:type="spellEnd"/>
      <w:r w:rsidRPr="00A53087">
        <w:t xml:space="preserve">, D. A. e </w:t>
      </w:r>
      <w:proofErr w:type="spellStart"/>
      <w:r w:rsidRPr="00A53087">
        <w:t>Iyengar</w:t>
      </w:r>
      <w:proofErr w:type="spellEnd"/>
      <w:r w:rsidRPr="00A53087">
        <w:t xml:space="preserve">, S. (en prensa). </w:t>
      </w:r>
      <w:proofErr w:type="spellStart"/>
      <w:r w:rsidRPr="00A53087">
        <w:t>The</w:t>
      </w:r>
      <w:proofErr w:type="spellEnd"/>
      <w:r w:rsidRPr="00A53087">
        <w:t xml:space="preserve"> </w:t>
      </w:r>
      <w:proofErr w:type="spellStart"/>
      <w:r w:rsidRPr="00A53087">
        <w:t>state</w:t>
      </w:r>
      <w:proofErr w:type="spellEnd"/>
      <w:r w:rsidRPr="00A53087">
        <w:t xml:space="preserve"> of </w:t>
      </w:r>
      <w:proofErr w:type="spellStart"/>
      <w:r w:rsidRPr="00A53087">
        <w:rPr>
          <w:i/>
        </w:rPr>
        <w:t>framing</w:t>
      </w:r>
      <w:proofErr w:type="spellEnd"/>
      <w:r w:rsidRPr="00A53087">
        <w:t xml:space="preserve"> </w:t>
      </w:r>
      <w:proofErr w:type="spellStart"/>
      <w:r w:rsidRPr="00A53087">
        <w:t>research</w:t>
      </w:r>
      <w:proofErr w:type="spellEnd"/>
      <w:r w:rsidRPr="00A53087">
        <w:t xml:space="preserve">: A </w:t>
      </w:r>
      <w:proofErr w:type="spellStart"/>
      <w:r w:rsidRPr="00A53087">
        <w:t>call</w:t>
      </w:r>
      <w:proofErr w:type="spellEnd"/>
      <w:r w:rsidRPr="00A53087">
        <w:t xml:space="preserve"> </w:t>
      </w:r>
      <w:proofErr w:type="spellStart"/>
      <w:r w:rsidRPr="00A53087">
        <w:t>for</w:t>
      </w:r>
      <w:proofErr w:type="spellEnd"/>
      <w:r w:rsidRPr="00A53087">
        <w:t xml:space="preserve"> new </w:t>
      </w:r>
      <w:proofErr w:type="spellStart"/>
      <w:r w:rsidRPr="00A53087">
        <w:t>directions</w:t>
      </w:r>
      <w:proofErr w:type="spellEnd"/>
      <w:r w:rsidRPr="00A53087">
        <w:t xml:space="preserve">. En K. </w:t>
      </w:r>
      <w:proofErr w:type="spellStart"/>
      <w:r w:rsidRPr="00A53087">
        <w:t>Kenski</w:t>
      </w:r>
      <w:proofErr w:type="spellEnd"/>
      <w:r w:rsidRPr="00A53087">
        <w:t xml:space="preserve"> y K. H. </w:t>
      </w:r>
      <w:proofErr w:type="spellStart"/>
      <w:r w:rsidRPr="00A53087">
        <w:t>Jamieson</w:t>
      </w:r>
      <w:proofErr w:type="spellEnd"/>
      <w:r w:rsidRPr="00A53087">
        <w:t xml:space="preserve"> (Eds.), </w:t>
      </w:r>
      <w:proofErr w:type="spellStart"/>
      <w:r w:rsidRPr="00A53087">
        <w:t>The</w:t>
      </w:r>
      <w:proofErr w:type="spellEnd"/>
      <w:r w:rsidRPr="00A53087">
        <w:t xml:space="preserve"> Oxford </w:t>
      </w:r>
      <w:proofErr w:type="spellStart"/>
      <w:r w:rsidRPr="00A53087">
        <w:t>Handbook</w:t>
      </w:r>
      <w:proofErr w:type="spellEnd"/>
      <w:r w:rsidRPr="00A53087">
        <w:t xml:space="preserve"> of </w:t>
      </w:r>
      <w:proofErr w:type="spellStart"/>
      <w:r w:rsidRPr="00A53087">
        <w:t>political</w:t>
      </w:r>
      <w:proofErr w:type="spellEnd"/>
      <w:r w:rsidRPr="00A53087">
        <w:t xml:space="preserve"> </w:t>
      </w:r>
      <w:proofErr w:type="spellStart"/>
      <w:r w:rsidRPr="00A53087">
        <w:t>communication</w:t>
      </w:r>
      <w:proofErr w:type="spellEnd"/>
      <w:r w:rsidRPr="00A53087">
        <w:t xml:space="preserve"> </w:t>
      </w:r>
      <w:proofErr w:type="spellStart"/>
      <w:r w:rsidRPr="00A53087">
        <w:t>theories</w:t>
      </w:r>
      <w:proofErr w:type="spellEnd"/>
      <w:r w:rsidRPr="00A53087">
        <w:t xml:space="preserve">. New York: Oxford </w:t>
      </w:r>
      <w:proofErr w:type="spellStart"/>
      <w:r w:rsidRPr="00A53087">
        <w:t>University</w:t>
      </w:r>
      <w:proofErr w:type="spellEnd"/>
      <w:r w:rsidRPr="00A53087">
        <w:t xml:space="preserve"> </w:t>
      </w:r>
      <w:proofErr w:type="spellStart"/>
      <w:r w:rsidRPr="00A53087">
        <w:t>Press</w:t>
      </w:r>
      <w:proofErr w:type="spellEnd"/>
      <w:r w:rsidRPr="00A53087">
        <w:t>.</w:t>
      </w:r>
    </w:p>
    <w:p w:rsidR="00BE4310" w:rsidRPr="001C3314" w:rsidRDefault="00BE4310" w:rsidP="00BE4310">
      <w:pPr>
        <w:ind w:left="284" w:hanging="284"/>
        <w:jc w:val="both"/>
        <w:rPr>
          <w:lang w:val="en-US"/>
        </w:rPr>
      </w:pPr>
      <w:r w:rsidRPr="001C3314">
        <w:rPr>
          <w:lang w:val="en-US"/>
        </w:rPr>
        <w:t xml:space="preserve">Shah, D. V., Cho, J., Nah, S., </w:t>
      </w:r>
      <w:proofErr w:type="spellStart"/>
      <w:r w:rsidRPr="001C3314">
        <w:rPr>
          <w:lang w:val="en-US"/>
        </w:rPr>
        <w:t>Gotlieb</w:t>
      </w:r>
      <w:proofErr w:type="spellEnd"/>
      <w:r w:rsidRPr="001C3314">
        <w:rPr>
          <w:lang w:val="en-US"/>
        </w:rPr>
        <w:t xml:space="preserve">, M. R., Hwang, H., </w:t>
      </w:r>
      <w:proofErr w:type="spellStart"/>
      <w:r w:rsidRPr="001C3314">
        <w:rPr>
          <w:lang w:val="en-US"/>
        </w:rPr>
        <w:t>Leem</w:t>
      </w:r>
      <w:proofErr w:type="spellEnd"/>
      <w:r w:rsidRPr="001C3314">
        <w:rPr>
          <w:lang w:val="en-US"/>
        </w:rPr>
        <w:t xml:space="preserve">, N., Scholl, R. M. y McLeod, D. M. (2007). Campaign Ads, Online Messaging, and Participation: Extending the Communication Mediation Model. </w:t>
      </w:r>
      <w:r w:rsidRPr="001C3314">
        <w:rPr>
          <w:i/>
          <w:lang w:val="en-US"/>
        </w:rPr>
        <w:t>Journal of Communication, 57</w:t>
      </w:r>
      <w:r w:rsidRPr="001C3314">
        <w:rPr>
          <w:lang w:val="en-US"/>
        </w:rPr>
        <w:t xml:space="preserve">(4), 676-703. </w:t>
      </w:r>
    </w:p>
    <w:p w:rsidR="00B873DD" w:rsidRPr="00A53087" w:rsidRDefault="00B873DD" w:rsidP="00BE4310">
      <w:pPr>
        <w:ind w:left="567" w:hanging="567"/>
        <w:jc w:val="both"/>
      </w:pPr>
      <w:r w:rsidRPr="00A53087">
        <w:lastRenderedPageBreak/>
        <w:t xml:space="preserve">Valentino, N. A., </w:t>
      </w:r>
      <w:proofErr w:type="spellStart"/>
      <w:r w:rsidRPr="00A53087">
        <w:t>Beckmann</w:t>
      </w:r>
      <w:proofErr w:type="spellEnd"/>
      <w:r w:rsidRPr="00A53087">
        <w:t xml:space="preserve">, M. N. y </w:t>
      </w:r>
      <w:proofErr w:type="spellStart"/>
      <w:r w:rsidRPr="00A53087">
        <w:t>Buhr</w:t>
      </w:r>
      <w:proofErr w:type="spellEnd"/>
      <w:r w:rsidRPr="00A53087">
        <w:t xml:space="preserve">, T. A. (2001). </w:t>
      </w:r>
      <w:proofErr w:type="spellStart"/>
      <w:r w:rsidRPr="00A53087">
        <w:t>When</w:t>
      </w:r>
      <w:proofErr w:type="spellEnd"/>
      <w:r w:rsidRPr="00A53087">
        <w:t xml:space="preserve"> </w:t>
      </w:r>
      <w:proofErr w:type="spellStart"/>
      <w:r w:rsidRPr="00A53087">
        <w:t>the</w:t>
      </w:r>
      <w:proofErr w:type="spellEnd"/>
      <w:r w:rsidRPr="00A53087">
        <w:t xml:space="preserve"> </w:t>
      </w:r>
      <w:proofErr w:type="spellStart"/>
      <w:r w:rsidRPr="00A53087">
        <w:rPr>
          <w:i/>
        </w:rPr>
        <w:t>frame</w:t>
      </w:r>
      <w:proofErr w:type="spellEnd"/>
      <w:r w:rsidRPr="00A53087">
        <w:t xml:space="preserve"> </w:t>
      </w:r>
      <w:proofErr w:type="spellStart"/>
      <w:r w:rsidRPr="00A53087">
        <w:t>is</w:t>
      </w:r>
      <w:proofErr w:type="spellEnd"/>
      <w:r w:rsidRPr="00A53087">
        <w:t xml:space="preserve"> </w:t>
      </w:r>
      <w:proofErr w:type="spellStart"/>
      <w:r w:rsidRPr="00A53087">
        <w:t>gone</w:t>
      </w:r>
      <w:proofErr w:type="spellEnd"/>
      <w:r w:rsidRPr="00A53087">
        <w:t xml:space="preserve">: </w:t>
      </w:r>
      <w:proofErr w:type="spellStart"/>
      <w:r w:rsidRPr="00A53087">
        <w:t>Revisiting</w:t>
      </w:r>
      <w:proofErr w:type="spellEnd"/>
      <w:r w:rsidRPr="00A53087">
        <w:t xml:space="preserve"> </w:t>
      </w:r>
      <w:proofErr w:type="spellStart"/>
      <w:r w:rsidRPr="00A53087">
        <w:t>the</w:t>
      </w:r>
      <w:proofErr w:type="spellEnd"/>
      <w:r w:rsidRPr="00A53087">
        <w:t xml:space="preserve"> </w:t>
      </w:r>
      <w:proofErr w:type="spellStart"/>
      <w:r w:rsidRPr="00A53087">
        <w:t>impact</w:t>
      </w:r>
      <w:proofErr w:type="spellEnd"/>
      <w:r w:rsidRPr="00A53087">
        <w:t xml:space="preserve"> of “</w:t>
      </w:r>
      <w:proofErr w:type="spellStart"/>
      <w:r w:rsidRPr="00A53087">
        <w:t>strategic</w:t>
      </w:r>
      <w:proofErr w:type="spellEnd"/>
      <w:r w:rsidRPr="00A53087">
        <w:t xml:space="preserve">” </w:t>
      </w:r>
      <w:proofErr w:type="spellStart"/>
      <w:r w:rsidRPr="00A53087">
        <w:t>campaign</w:t>
      </w:r>
      <w:proofErr w:type="spellEnd"/>
      <w:r w:rsidRPr="00A53087">
        <w:t xml:space="preserve"> </w:t>
      </w:r>
      <w:proofErr w:type="spellStart"/>
      <w:r w:rsidRPr="00A53087">
        <w:t>coverage</w:t>
      </w:r>
      <w:proofErr w:type="spellEnd"/>
      <w:r w:rsidRPr="00A53087">
        <w:t xml:space="preserve"> </w:t>
      </w:r>
      <w:proofErr w:type="spellStart"/>
      <w:r w:rsidRPr="00A53087">
        <w:t>on</w:t>
      </w:r>
      <w:proofErr w:type="spellEnd"/>
      <w:r w:rsidRPr="00A53087">
        <w:t xml:space="preserve"> </w:t>
      </w:r>
      <w:proofErr w:type="spellStart"/>
      <w:r w:rsidRPr="00A53087">
        <w:t>citizens</w:t>
      </w:r>
      <w:proofErr w:type="spellEnd"/>
      <w:r w:rsidRPr="00A53087">
        <w:t xml:space="preserve">’ </w:t>
      </w:r>
      <w:proofErr w:type="spellStart"/>
      <w:r w:rsidRPr="00A53087">
        <w:t>information</w:t>
      </w:r>
      <w:proofErr w:type="spellEnd"/>
      <w:r w:rsidRPr="00A53087">
        <w:t xml:space="preserve"> </w:t>
      </w:r>
      <w:proofErr w:type="spellStart"/>
      <w:r w:rsidRPr="00A53087">
        <w:t>retention</w:t>
      </w:r>
      <w:proofErr w:type="spellEnd"/>
      <w:r w:rsidRPr="00A53087">
        <w:t xml:space="preserve">. </w:t>
      </w:r>
      <w:proofErr w:type="spellStart"/>
      <w:r w:rsidRPr="00A53087">
        <w:t>Journalism</w:t>
      </w:r>
      <w:proofErr w:type="spellEnd"/>
      <w:r w:rsidRPr="00A53087">
        <w:t xml:space="preserve"> and </w:t>
      </w:r>
      <w:proofErr w:type="spellStart"/>
      <w:r w:rsidRPr="00A53087">
        <w:t>Mass</w:t>
      </w:r>
      <w:proofErr w:type="spellEnd"/>
      <w:r w:rsidRPr="00A53087">
        <w:t xml:space="preserve"> </w:t>
      </w:r>
      <w:proofErr w:type="spellStart"/>
      <w:r w:rsidRPr="00A53087">
        <w:t>Communication</w:t>
      </w:r>
      <w:proofErr w:type="spellEnd"/>
      <w:r w:rsidRPr="00A53087">
        <w:t xml:space="preserve"> </w:t>
      </w:r>
      <w:proofErr w:type="spellStart"/>
      <w:r w:rsidRPr="00A53087">
        <w:t>Quarterly</w:t>
      </w:r>
      <w:proofErr w:type="spellEnd"/>
      <w:r w:rsidRPr="00A53087">
        <w:t>, 78, 93-112.</w:t>
      </w:r>
    </w:p>
    <w:p w:rsidR="00BE4310" w:rsidRPr="002400EC" w:rsidRDefault="00BE4310" w:rsidP="00BE4310">
      <w:pPr>
        <w:ind w:left="284" w:hanging="284"/>
        <w:jc w:val="both"/>
        <w:rPr>
          <w:lang w:val="en-GB"/>
        </w:rPr>
      </w:pPr>
      <w:proofErr w:type="spellStart"/>
      <w:r w:rsidRPr="00223C11">
        <w:t>Valkenburg</w:t>
      </w:r>
      <w:proofErr w:type="spellEnd"/>
      <w:r w:rsidRPr="00223C11">
        <w:t xml:space="preserve">, P., </w:t>
      </w:r>
      <w:proofErr w:type="spellStart"/>
      <w:r w:rsidRPr="00223C11">
        <w:t>Semetko</w:t>
      </w:r>
      <w:proofErr w:type="spellEnd"/>
      <w:r w:rsidRPr="00223C11">
        <w:t xml:space="preserve">, H. y de </w:t>
      </w:r>
      <w:proofErr w:type="spellStart"/>
      <w:r w:rsidRPr="00223C11">
        <w:t>Vreese</w:t>
      </w:r>
      <w:proofErr w:type="spellEnd"/>
      <w:r w:rsidRPr="00223C11">
        <w:t xml:space="preserve">, C. (1999). </w:t>
      </w:r>
      <w:r w:rsidRPr="002400EC">
        <w:rPr>
          <w:lang w:val="en-GB"/>
        </w:rPr>
        <w:t xml:space="preserve">The effects of news frames on reader’s thoughts and recall. </w:t>
      </w:r>
      <w:r w:rsidRPr="002400EC">
        <w:rPr>
          <w:i/>
          <w:lang w:val="en-GB"/>
        </w:rPr>
        <w:t>Communication Research, 26</w:t>
      </w:r>
      <w:r w:rsidRPr="002400EC">
        <w:rPr>
          <w:lang w:val="en-GB"/>
        </w:rPr>
        <w:t>, 550-569.</w:t>
      </w:r>
    </w:p>
    <w:p w:rsidR="00BE4310" w:rsidRPr="002400EC" w:rsidRDefault="00BE4310" w:rsidP="00BE4310">
      <w:pPr>
        <w:ind w:left="284" w:hanging="284"/>
        <w:jc w:val="both"/>
      </w:pPr>
      <w:proofErr w:type="spellStart"/>
      <w:r w:rsidRPr="002400EC">
        <w:t>Yioutas</w:t>
      </w:r>
      <w:proofErr w:type="spellEnd"/>
      <w:r w:rsidRPr="002400EC">
        <w:t xml:space="preserve">, J., y </w:t>
      </w:r>
      <w:proofErr w:type="spellStart"/>
      <w:r w:rsidRPr="002400EC">
        <w:t>Segvic</w:t>
      </w:r>
      <w:proofErr w:type="spellEnd"/>
      <w:r w:rsidRPr="002400EC">
        <w:t>, I. (2003). </w:t>
      </w:r>
      <w:r w:rsidRPr="002400EC">
        <w:rPr>
          <w:lang w:val="en-US"/>
        </w:rPr>
        <w:t xml:space="preserve">Revisiting the Clinton/Lewinsky scandal: The convergence of Agenda-Setting and Framing. </w:t>
      </w:r>
      <w:proofErr w:type="spellStart"/>
      <w:r w:rsidRPr="002400EC">
        <w:rPr>
          <w:i/>
          <w:iCs/>
        </w:rPr>
        <w:t>Journalism</w:t>
      </w:r>
      <w:proofErr w:type="spellEnd"/>
      <w:r w:rsidRPr="002400EC">
        <w:rPr>
          <w:i/>
          <w:iCs/>
        </w:rPr>
        <w:t xml:space="preserve"> and </w:t>
      </w:r>
      <w:proofErr w:type="spellStart"/>
      <w:r w:rsidRPr="002400EC">
        <w:rPr>
          <w:i/>
          <w:iCs/>
        </w:rPr>
        <w:t>Mass</w:t>
      </w:r>
      <w:proofErr w:type="spellEnd"/>
      <w:r w:rsidRPr="002400EC">
        <w:rPr>
          <w:i/>
          <w:iCs/>
        </w:rPr>
        <w:t xml:space="preserve"> </w:t>
      </w:r>
      <w:proofErr w:type="spellStart"/>
      <w:r w:rsidRPr="002400EC">
        <w:rPr>
          <w:i/>
          <w:iCs/>
        </w:rPr>
        <w:t>Communication</w:t>
      </w:r>
      <w:proofErr w:type="spellEnd"/>
      <w:r w:rsidRPr="002400EC">
        <w:rPr>
          <w:i/>
          <w:iCs/>
        </w:rPr>
        <w:t xml:space="preserve"> </w:t>
      </w:r>
      <w:proofErr w:type="spellStart"/>
      <w:r w:rsidRPr="002400EC">
        <w:rPr>
          <w:i/>
          <w:iCs/>
        </w:rPr>
        <w:t>Quarterly</w:t>
      </w:r>
      <w:proofErr w:type="spellEnd"/>
      <w:r w:rsidRPr="002400EC">
        <w:rPr>
          <w:i/>
        </w:rPr>
        <w:t xml:space="preserve">, </w:t>
      </w:r>
      <w:r w:rsidRPr="002400EC">
        <w:rPr>
          <w:i/>
          <w:iCs/>
        </w:rPr>
        <w:t>80</w:t>
      </w:r>
      <w:r w:rsidRPr="002400EC">
        <w:t>, 567-582.</w:t>
      </w:r>
    </w:p>
    <w:p w:rsidR="00B873DD" w:rsidRDefault="00B873DD" w:rsidP="00BE4310">
      <w:pPr>
        <w:adjustRightInd w:val="0"/>
        <w:snapToGrid w:val="0"/>
        <w:jc w:val="both"/>
      </w:pPr>
    </w:p>
    <w:sectPr w:rsidR="00B873DD" w:rsidSect="008415E1">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54B" w:rsidRDefault="00E3054B" w:rsidP="005839AD">
      <w:r>
        <w:separator/>
      </w:r>
    </w:p>
  </w:endnote>
  <w:endnote w:type="continuationSeparator" w:id="0">
    <w:p w:rsidR="00E3054B" w:rsidRDefault="00E3054B" w:rsidP="00583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6163"/>
      <w:docPartObj>
        <w:docPartGallery w:val="Page Numbers (Bottom of Page)"/>
        <w:docPartUnique/>
      </w:docPartObj>
    </w:sdtPr>
    <w:sdtContent>
      <w:p w:rsidR="009D665D" w:rsidRDefault="009D665D">
        <w:pPr>
          <w:pStyle w:val="Piedepgina"/>
          <w:jc w:val="center"/>
        </w:pPr>
        <w:fldSimple w:instr=" PAGE   \* MERGEFORMAT ">
          <w:r w:rsidR="00487034">
            <w:rPr>
              <w:noProof/>
            </w:rPr>
            <w:t>12</w:t>
          </w:r>
        </w:fldSimple>
      </w:p>
    </w:sdtContent>
  </w:sdt>
  <w:p w:rsidR="009D665D" w:rsidRDefault="009D66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54B" w:rsidRDefault="00E3054B" w:rsidP="005839AD">
      <w:r>
        <w:separator/>
      </w:r>
    </w:p>
  </w:footnote>
  <w:footnote w:type="continuationSeparator" w:id="0">
    <w:p w:rsidR="00E3054B" w:rsidRDefault="00E3054B" w:rsidP="005839AD">
      <w:r>
        <w:continuationSeparator/>
      </w:r>
    </w:p>
  </w:footnote>
  <w:footnote w:id="1">
    <w:p w:rsidR="009D665D" w:rsidRPr="00B70B9B" w:rsidRDefault="009D665D" w:rsidP="00C464FE">
      <w:pPr>
        <w:pStyle w:val="Textonotapie"/>
        <w:jc w:val="both"/>
      </w:pPr>
      <w:r w:rsidRPr="00B70B9B">
        <w:rPr>
          <w:rStyle w:val="Refdenotaalpie"/>
        </w:rPr>
        <w:footnoteRef/>
      </w:r>
      <w:r w:rsidRPr="00B70B9B">
        <w:t xml:space="preserve"> En concreto, participaron los alumnos Lourdes Acosta Aguirre, Jesús Alberto Anaya Amarillas, Enrique Bobadilla García, Mao-lee Bon Islas, Claudia Lucia Castro Peralta, Jesús Omar Flores García, Juan Luis Mazo Moreno, Rocío Reyes Otáñez, </w:t>
      </w:r>
      <w:proofErr w:type="spellStart"/>
      <w:r w:rsidRPr="00B70B9B">
        <w:t>Marycarmen</w:t>
      </w:r>
      <w:proofErr w:type="spellEnd"/>
      <w:r w:rsidRPr="00B70B9B">
        <w:t xml:space="preserve"> Vizcarra </w:t>
      </w:r>
      <w:proofErr w:type="spellStart"/>
      <w:r w:rsidRPr="00B70B9B">
        <w:t>Cázarez</w:t>
      </w:r>
      <w:proofErr w:type="spellEnd"/>
      <w:r w:rsidRPr="00B70B9B">
        <w:t>, Octavio López Román.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A24E6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875AF9"/>
    <w:multiLevelType w:val="hybridMultilevel"/>
    <w:tmpl w:val="B5AE5CF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1325003"/>
    <w:multiLevelType w:val="hybridMultilevel"/>
    <w:tmpl w:val="8924C6CA"/>
    <w:lvl w:ilvl="0" w:tplc="32CC0914">
      <w:numFmt w:val="bullet"/>
      <w:lvlText w:val="•"/>
      <w:lvlJc w:val="left"/>
      <w:pPr>
        <w:ind w:left="2121" w:hanging="705"/>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48E11BC"/>
    <w:multiLevelType w:val="hybridMultilevel"/>
    <w:tmpl w:val="3DF08D32"/>
    <w:lvl w:ilvl="0" w:tplc="33ACBBE2">
      <w:start w:val="1"/>
      <w:numFmt w:val="bullet"/>
      <w:lvlText w:val=""/>
      <w:lvlJc w:val="left"/>
      <w:pPr>
        <w:tabs>
          <w:tab w:val="num" w:pos="720"/>
        </w:tabs>
        <w:ind w:left="720" w:hanging="360"/>
      </w:pPr>
      <w:rPr>
        <w:rFonts w:ascii="Wingdings" w:hAnsi="Wingdings" w:hint="default"/>
      </w:rPr>
    </w:lvl>
    <w:lvl w:ilvl="1" w:tplc="670EE7C8">
      <w:start w:val="1461"/>
      <w:numFmt w:val="bullet"/>
      <w:lvlText w:val=""/>
      <w:lvlJc w:val="left"/>
      <w:pPr>
        <w:tabs>
          <w:tab w:val="num" w:pos="1440"/>
        </w:tabs>
        <w:ind w:left="1440" w:hanging="360"/>
      </w:pPr>
      <w:rPr>
        <w:rFonts w:ascii="Wingdings" w:hAnsi="Wingdings" w:hint="default"/>
      </w:rPr>
    </w:lvl>
    <w:lvl w:ilvl="2" w:tplc="67B4BD10" w:tentative="1">
      <w:start w:val="1"/>
      <w:numFmt w:val="bullet"/>
      <w:lvlText w:val=""/>
      <w:lvlJc w:val="left"/>
      <w:pPr>
        <w:tabs>
          <w:tab w:val="num" w:pos="2160"/>
        </w:tabs>
        <w:ind w:left="2160" w:hanging="360"/>
      </w:pPr>
      <w:rPr>
        <w:rFonts w:ascii="Wingdings" w:hAnsi="Wingdings" w:hint="default"/>
      </w:rPr>
    </w:lvl>
    <w:lvl w:ilvl="3" w:tplc="C7BE519E" w:tentative="1">
      <w:start w:val="1"/>
      <w:numFmt w:val="bullet"/>
      <w:lvlText w:val=""/>
      <w:lvlJc w:val="left"/>
      <w:pPr>
        <w:tabs>
          <w:tab w:val="num" w:pos="2880"/>
        </w:tabs>
        <w:ind w:left="2880" w:hanging="360"/>
      </w:pPr>
      <w:rPr>
        <w:rFonts w:ascii="Wingdings" w:hAnsi="Wingdings" w:hint="default"/>
      </w:rPr>
    </w:lvl>
    <w:lvl w:ilvl="4" w:tplc="8A3207A0" w:tentative="1">
      <w:start w:val="1"/>
      <w:numFmt w:val="bullet"/>
      <w:lvlText w:val=""/>
      <w:lvlJc w:val="left"/>
      <w:pPr>
        <w:tabs>
          <w:tab w:val="num" w:pos="3600"/>
        </w:tabs>
        <w:ind w:left="3600" w:hanging="360"/>
      </w:pPr>
      <w:rPr>
        <w:rFonts w:ascii="Wingdings" w:hAnsi="Wingdings" w:hint="default"/>
      </w:rPr>
    </w:lvl>
    <w:lvl w:ilvl="5" w:tplc="DA10472E" w:tentative="1">
      <w:start w:val="1"/>
      <w:numFmt w:val="bullet"/>
      <w:lvlText w:val=""/>
      <w:lvlJc w:val="left"/>
      <w:pPr>
        <w:tabs>
          <w:tab w:val="num" w:pos="4320"/>
        </w:tabs>
        <w:ind w:left="4320" w:hanging="360"/>
      </w:pPr>
      <w:rPr>
        <w:rFonts w:ascii="Wingdings" w:hAnsi="Wingdings" w:hint="default"/>
      </w:rPr>
    </w:lvl>
    <w:lvl w:ilvl="6" w:tplc="0CAA12C0" w:tentative="1">
      <w:start w:val="1"/>
      <w:numFmt w:val="bullet"/>
      <w:lvlText w:val=""/>
      <w:lvlJc w:val="left"/>
      <w:pPr>
        <w:tabs>
          <w:tab w:val="num" w:pos="5040"/>
        </w:tabs>
        <w:ind w:left="5040" w:hanging="360"/>
      </w:pPr>
      <w:rPr>
        <w:rFonts w:ascii="Wingdings" w:hAnsi="Wingdings" w:hint="default"/>
      </w:rPr>
    </w:lvl>
    <w:lvl w:ilvl="7" w:tplc="C5C2375A" w:tentative="1">
      <w:start w:val="1"/>
      <w:numFmt w:val="bullet"/>
      <w:lvlText w:val=""/>
      <w:lvlJc w:val="left"/>
      <w:pPr>
        <w:tabs>
          <w:tab w:val="num" w:pos="5760"/>
        </w:tabs>
        <w:ind w:left="5760" w:hanging="360"/>
      </w:pPr>
      <w:rPr>
        <w:rFonts w:ascii="Wingdings" w:hAnsi="Wingdings" w:hint="default"/>
      </w:rPr>
    </w:lvl>
    <w:lvl w:ilvl="8" w:tplc="C98A3554" w:tentative="1">
      <w:start w:val="1"/>
      <w:numFmt w:val="bullet"/>
      <w:lvlText w:val=""/>
      <w:lvlJc w:val="left"/>
      <w:pPr>
        <w:tabs>
          <w:tab w:val="num" w:pos="6480"/>
        </w:tabs>
        <w:ind w:left="6480" w:hanging="360"/>
      </w:pPr>
      <w:rPr>
        <w:rFonts w:ascii="Wingdings" w:hAnsi="Wingdings" w:hint="default"/>
      </w:rPr>
    </w:lvl>
  </w:abstractNum>
  <w:abstractNum w:abstractNumId="4">
    <w:nsid w:val="509350D4"/>
    <w:multiLevelType w:val="hybridMultilevel"/>
    <w:tmpl w:val="AA3AE660"/>
    <w:lvl w:ilvl="0" w:tplc="32CC0914">
      <w:numFmt w:val="bullet"/>
      <w:lvlText w:val="•"/>
      <w:lvlJc w:val="left"/>
      <w:pPr>
        <w:ind w:left="1413" w:hanging="705"/>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66785569"/>
    <w:multiLevelType w:val="hybridMultilevel"/>
    <w:tmpl w:val="D3C6ECE0"/>
    <w:lvl w:ilvl="0" w:tplc="32CC0914">
      <w:numFmt w:val="bullet"/>
      <w:lvlText w:val="•"/>
      <w:lvlJc w:val="left"/>
      <w:pPr>
        <w:ind w:left="2121" w:hanging="705"/>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66895D44"/>
    <w:multiLevelType w:val="hybridMultilevel"/>
    <w:tmpl w:val="47169678"/>
    <w:lvl w:ilvl="0" w:tplc="FF9CA980">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180226">
      <o:colormenu v:ext="edit" fillcolor="none" strokecolor="none"/>
    </o:shapedefaults>
  </w:hdrShapeDefaults>
  <w:footnotePr>
    <w:footnote w:id="-1"/>
    <w:footnote w:id="0"/>
  </w:footnotePr>
  <w:endnotePr>
    <w:endnote w:id="-1"/>
    <w:endnote w:id="0"/>
  </w:endnotePr>
  <w:compat/>
  <w:rsids>
    <w:rsidRoot w:val="008A6F72"/>
    <w:rsid w:val="0000128D"/>
    <w:rsid w:val="000020B3"/>
    <w:rsid w:val="000029EB"/>
    <w:rsid w:val="0000544F"/>
    <w:rsid w:val="00007F4A"/>
    <w:rsid w:val="000118F7"/>
    <w:rsid w:val="0001199E"/>
    <w:rsid w:val="000121E6"/>
    <w:rsid w:val="00021670"/>
    <w:rsid w:val="00021BDC"/>
    <w:rsid w:val="0002585D"/>
    <w:rsid w:val="00025F8B"/>
    <w:rsid w:val="00032CBC"/>
    <w:rsid w:val="000405AB"/>
    <w:rsid w:val="00040939"/>
    <w:rsid w:val="00043D4F"/>
    <w:rsid w:val="00044564"/>
    <w:rsid w:val="00044C01"/>
    <w:rsid w:val="000457E1"/>
    <w:rsid w:val="000522F1"/>
    <w:rsid w:val="00057CE9"/>
    <w:rsid w:val="000716CE"/>
    <w:rsid w:val="000727A8"/>
    <w:rsid w:val="00086A55"/>
    <w:rsid w:val="00086CB3"/>
    <w:rsid w:val="00087CE3"/>
    <w:rsid w:val="000905AF"/>
    <w:rsid w:val="00092FF8"/>
    <w:rsid w:val="000A3E2A"/>
    <w:rsid w:val="000A6CF5"/>
    <w:rsid w:val="000B3D41"/>
    <w:rsid w:val="000B4F89"/>
    <w:rsid w:val="000B5177"/>
    <w:rsid w:val="000B5D29"/>
    <w:rsid w:val="000B72FE"/>
    <w:rsid w:val="000C0637"/>
    <w:rsid w:val="000C1BB9"/>
    <w:rsid w:val="000D23E8"/>
    <w:rsid w:val="000D5774"/>
    <w:rsid w:val="000D6EC4"/>
    <w:rsid w:val="000E7B81"/>
    <w:rsid w:val="001051BB"/>
    <w:rsid w:val="0010557C"/>
    <w:rsid w:val="00106C55"/>
    <w:rsid w:val="00114352"/>
    <w:rsid w:val="00136C36"/>
    <w:rsid w:val="001462DF"/>
    <w:rsid w:val="00150B47"/>
    <w:rsid w:val="00150C94"/>
    <w:rsid w:val="00154909"/>
    <w:rsid w:val="00157071"/>
    <w:rsid w:val="00162F7B"/>
    <w:rsid w:val="0016330C"/>
    <w:rsid w:val="00165AEE"/>
    <w:rsid w:val="00166F61"/>
    <w:rsid w:val="00173FEF"/>
    <w:rsid w:val="00183111"/>
    <w:rsid w:val="001834B5"/>
    <w:rsid w:val="00192D42"/>
    <w:rsid w:val="001A1B79"/>
    <w:rsid w:val="001A1BAF"/>
    <w:rsid w:val="001A375D"/>
    <w:rsid w:val="001A5EC1"/>
    <w:rsid w:val="001B3B7E"/>
    <w:rsid w:val="001B3CF0"/>
    <w:rsid w:val="001B7174"/>
    <w:rsid w:val="001C58EB"/>
    <w:rsid w:val="001C6B61"/>
    <w:rsid w:val="001D0CB6"/>
    <w:rsid w:val="001E5F23"/>
    <w:rsid w:val="001F37C1"/>
    <w:rsid w:val="001F4753"/>
    <w:rsid w:val="001F57C9"/>
    <w:rsid w:val="002022D6"/>
    <w:rsid w:val="00202693"/>
    <w:rsid w:val="0020552E"/>
    <w:rsid w:val="0021546F"/>
    <w:rsid w:val="00215800"/>
    <w:rsid w:val="00216431"/>
    <w:rsid w:val="00217C9B"/>
    <w:rsid w:val="002225D0"/>
    <w:rsid w:val="0022489A"/>
    <w:rsid w:val="002264B2"/>
    <w:rsid w:val="00231F8A"/>
    <w:rsid w:val="00232B60"/>
    <w:rsid w:val="002340C6"/>
    <w:rsid w:val="00240919"/>
    <w:rsid w:val="00241A02"/>
    <w:rsid w:val="002421E5"/>
    <w:rsid w:val="002424B7"/>
    <w:rsid w:val="0024744F"/>
    <w:rsid w:val="002505D1"/>
    <w:rsid w:val="00252212"/>
    <w:rsid w:val="00257C3C"/>
    <w:rsid w:val="002708F7"/>
    <w:rsid w:val="00271795"/>
    <w:rsid w:val="00275316"/>
    <w:rsid w:val="002809EF"/>
    <w:rsid w:val="00286F41"/>
    <w:rsid w:val="002917DB"/>
    <w:rsid w:val="002962F8"/>
    <w:rsid w:val="002A0610"/>
    <w:rsid w:val="002A18F7"/>
    <w:rsid w:val="002A75D1"/>
    <w:rsid w:val="002C10E7"/>
    <w:rsid w:val="002C26A3"/>
    <w:rsid w:val="002D25C8"/>
    <w:rsid w:val="002D7609"/>
    <w:rsid w:val="002E3DEB"/>
    <w:rsid w:val="002E512E"/>
    <w:rsid w:val="002E6BB5"/>
    <w:rsid w:val="002E7B19"/>
    <w:rsid w:val="002F0C49"/>
    <w:rsid w:val="002F3DBE"/>
    <w:rsid w:val="002F6267"/>
    <w:rsid w:val="002F773E"/>
    <w:rsid w:val="0030094E"/>
    <w:rsid w:val="00311386"/>
    <w:rsid w:val="00312018"/>
    <w:rsid w:val="00313F87"/>
    <w:rsid w:val="003153A0"/>
    <w:rsid w:val="003153FB"/>
    <w:rsid w:val="00315C4B"/>
    <w:rsid w:val="0032111B"/>
    <w:rsid w:val="003255BD"/>
    <w:rsid w:val="00325AB2"/>
    <w:rsid w:val="00327417"/>
    <w:rsid w:val="00327D60"/>
    <w:rsid w:val="00331EEB"/>
    <w:rsid w:val="0033253D"/>
    <w:rsid w:val="00332A04"/>
    <w:rsid w:val="0033669B"/>
    <w:rsid w:val="003663D6"/>
    <w:rsid w:val="00366A2F"/>
    <w:rsid w:val="00370F21"/>
    <w:rsid w:val="00371E75"/>
    <w:rsid w:val="003726FB"/>
    <w:rsid w:val="003731AA"/>
    <w:rsid w:val="00373256"/>
    <w:rsid w:val="00373C26"/>
    <w:rsid w:val="00375E1F"/>
    <w:rsid w:val="0037666B"/>
    <w:rsid w:val="00384EB0"/>
    <w:rsid w:val="0038649B"/>
    <w:rsid w:val="00387814"/>
    <w:rsid w:val="00391C72"/>
    <w:rsid w:val="00393221"/>
    <w:rsid w:val="00393F73"/>
    <w:rsid w:val="00395789"/>
    <w:rsid w:val="00397557"/>
    <w:rsid w:val="003A1EDD"/>
    <w:rsid w:val="003B48BA"/>
    <w:rsid w:val="003C1604"/>
    <w:rsid w:val="003D2C39"/>
    <w:rsid w:val="003D4936"/>
    <w:rsid w:val="003D4CE3"/>
    <w:rsid w:val="003E1496"/>
    <w:rsid w:val="003E58AC"/>
    <w:rsid w:val="003F0271"/>
    <w:rsid w:val="003F304E"/>
    <w:rsid w:val="003F4B1B"/>
    <w:rsid w:val="003F71A6"/>
    <w:rsid w:val="00401467"/>
    <w:rsid w:val="004109DF"/>
    <w:rsid w:val="00412556"/>
    <w:rsid w:val="004142DE"/>
    <w:rsid w:val="00417DB1"/>
    <w:rsid w:val="004265DC"/>
    <w:rsid w:val="00437EB9"/>
    <w:rsid w:val="00440251"/>
    <w:rsid w:val="00440F4B"/>
    <w:rsid w:val="00450F66"/>
    <w:rsid w:val="00455675"/>
    <w:rsid w:val="00456CE0"/>
    <w:rsid w:val="00461D85"/>
    <w:rsid w:val="00477754"/>
    <w:rsid w:val="00481584"/>
    <w:rsid w:val="00487034"/>
    <w:rsid w:val="00490FE7"/>
    <w:rsid w:val="004A1B6F"/>
    <w:rsid w:val="004A21CB"/>
    <w:rsid w:val="004A2AC8"/>
    <w:rsid w:val="004A7BAF"/>
    <w:rsid w:val="004B1B9A"/>
    <w:rsid w:val="004B345E"/>
    <w:rsid w:val="004B3623"/>
    <w:rsid w:val="004B56C4"/>
    <w:rsid w:val="004B57FE"/>
    <w:rsid w:val="004B7D3A"/>
    <w:rsid w:val="004C0273"/>
    <w:rsid w:val="004C02B6"/>
    <w:rsid w:val="004C068A"/>
    <w:rsid w:val="004C1CD2"/>
    <w:rsid w:val="004D00B7"/>
    <w:rsid w:val="004D36EA"/>
    <w:rsid w:val="004D650A"/>
    <w:rsid w:val="004D6E85"/>
    <w:rsid w:val="004D6EA7"/>
    <w:rsid w:val="004D7E00"/>
    <w:rsid w:val="004E4877"/>
    <w:rsid w:val="004E6676"/>
    <w:rsid w:val="004E7B5C"/>
    <w:rsid w:val="004F1041"/>
    <w:rsid w:val="004F582F"/>
    <w:rsid w:val="005058A0"/>
    <w:rsid w:val="0050637A"/>
    <w:rsid w:val="0050653B"/>
    <w:rsid w:val="00514DFE"/>
    <w:rsid w:val="00525A20"/>
    <w:rsid w:val="00526F63"/>
    <w:rsid w:val="00533553"/>
    <w:rsid w:val="005337FB"/>
    <w:rsid w:val="00536E7D"/>
    <w:rsid w:val="005418F7"/>
    <w:rsid w:val="00544E5F"/>
    <w:rsid w:val="00544F9E"/>
    <w:rsid w:val="005614EB"/>
    <w:rsid w:val="005673AD"/>
    <w:rsid w:val="005743F6"/>
    <w:rsid w:val="00575442"/>
    <w:rsid w:val="00581396"/>
    <w:rsid w:val="005836B7"/>
    <w:rsid w:val="005839AD"/>
    <w:rsid w:val="005928C7"/>
    <w:rsid w:val="00594218"/>
    <w:rsid w:val="00595055"/>
    <w:rsid w:val="00597683"/>
    <w:rsid w:val="005A0368"/>
    <w:rsid w:val="005A43DC"/>
    <w:rsid w:val="005A43EF"/>
    <w:rsid w:val="005A4800"/>
    <w:rsid w:val="005B0558"/>
    <w:rsid w:val="005B30A4"/>
    <w:rsid w:val="005B372E"/>
    <w:rsid w:val="005B3826"/>
    <w:rsid w:val="005B3AC5"/>
    <w:rsid w:val="005C4167"/>
    <w:rsid w:val="005C49AA"/>
    <w:rsid w:val="005C6066"/>
    <w:rsid w:val="005D5DFF"/>
    <w:rsid w:val="005D7258"/>
    <w:rsid w:val="005E2F9B"/>
    <w:rsid w:val="005E46EA"/>
    <w:rsid w:val="005E4D5F"/>
    <w:rsid w:val="005E6F78"/>
    <w:rsid w:val="005F1DF9"/>
    <w:rsid w:val="005F564C"/>
    <w:rsid w:val="005F5EC4"/>
    <w:rsid w:val="005F68FB"/>
    <w:rsid w:val="00602335"/>
    <w:rsid w:val="0060337D"/>
    <w:rsid w:val="00620CCA"/>
    <w:rsid w:val="006244A8"/>
    <w:rsid w:val="00625C95"/>
    <w:rsid w:val="006300F4"/>
    <w:rsid w:val="006315D7"/>
    <w:rsid w:val="00633E1E"/>
    <w:rsid w:val="00634C28"/>
    <w:rsid w:val="00645CE9"/>
    <w:rsid w:val="00651A1A"/>
    <w:rsid w:val="00654B2A"/>
    <w:rsid w:val="00656181"/>
    <w:rsid w:val="00660D51"/>
    <w:rsid w:val="006637A7"/>
    <w:rsid w:val="00664F66"/>
    <w:rsid w:val="00665023"/>
    <w:rsid w:val="00666FF5"/>
    <w:rsid w:val="00675DCA"/>
    <w:rsid w:val="00680BD5"/>
    <w:rsid w:val="00682500"/>
    <w:rsid w:val="00690F80"/>
    <w:rsid w:val="006944D7"/>
    <w:rsid w:val="006A410E"/>
    <w:rsid w:val="006A57BF"/>
    <w:rsid w:val="006A6D48"/>
    <w:rsid w:val="006B3234"/>
    <w:rsid w:val="006B63DA"/>
    <w:rsid w:val="006D2864"/>
    <w:rsid w:val="006E165F"/>
    <w:rsid w:val="006E5F17"/>
    <w:rsid w:val="006E7514"/>
    <w:rsid w:val="006F5EA7"/>
    <w:rsid w:val="006F71DB"/>
    <w:rsid w:val="007015FE"/>
    <w:rsid w:val="00701C9F"/>
    <w:rsid w:val="00702673"/>
    <w:rsid w:val="00703B51"/>
    <w:rsid w:val="007072B0"/>
    <w:rsid w:val="0071243B"/>
    <w:rsid w:val="007129EE"/>
    <w:rsid w:val="00715C95"/>
    <w:rsid w:val="00717885"/>
    <w:rsid w:val="00722446"/>
    <w:rsid w:val="00722697"/>
    <w:rsid w:val="00734029"/>
    <w:rsid w:val="007420EA"/>
    <w:rsid w:val="00742100"/>
    <w:rsid w:val="007461CA"/>
    <w:rsid w:val="0075709E"/>
    <w:rsid w:val="0075750B"/>
    <w:rsid w:val="00761D33"/>
    <w:rsid w:val="00766352"/>
    <w:rsid w:val="00773ABE"/>
    <w:rsid w:val="0077580E"/>
    <w:rsid w:val="00776B6F"/>
    <w:rsid w:val="00780741"/>
    <w:rsid w:val="00780828"/>
    <w:rsid w:val="007818A6"/>
    <w:rsid w:val="00783F65"/>
    <w:rsid w:val="007965CA"/>
    <w:rsid w:val="007B0815"/>
    <w:rsid w:val="007B508C"/>
    <w:rsid w:val="007B5358"/>
    <w:rsid w:val="007B5787"/>
    <w:rsid w:val="007C1F43"/>
    <w:rsid w:val="007C23CA"/>
    <w:rsid w:val="007C39DC"/>
    <w:rsid w:val="007D7B74"/>
    <w:rsid w:val="007E638A"/>
    <w:rsid w:val="007F2C0C"/>
    <w:rsid w:val="008030C4"/>
    <w:rsid w:val="008073CC"/>
    <w:rsid w:val="00814B9E"/>
    <w:rsid w:val="00815DCE"/>
    <w:rsid w:val="00817134"/>
    <w:rsid w:val="008253B1"/>
    <w:rsid w:val="0083417A"/>
    <w:rsid w:val="00834923"/>
    <w:rsid w:val="008362AC"/>
    <w:rsid w:val="0083780A"/>
    <w:rsid w:val="008415E1"/>
    <w:rsid w:val="0084423C"/>
    <w:rsid w:val="00851D01"/>
    <w:rsid w:val="008525A7"/>
    <w:rsid w:val="008614E9"/>
    <w:rsid w:val="00865227"/>
    <w:rsid w:val="008669E2"/>
    <w:rsid w:val="00867718"/>
    <w:rsid w:val="008701A0"/>
    <w:rsid w:val="00873136"/>
    <w:rsid w:val="00873AE8"/>
    <w:rsid w:val="00876E2A"/>
    <w:rsid w:val="00877B46"/>
    <w:rsid w:val="0088399B"/>
    <w:rsid w:val="00885076"/>
    <w:rsid w:val="0089355D"/>
    <w:rsid w:val="008972DD"/>
    <w:rsid w:val="00897D3A"/>
    <w:rsid w:val="008A6F5A"/>
    <w:rsid w:val="008A6F72"/>
    <w:rsid w:val="008B790D"/>
    <w:rsid w:val="008C2EF2"/>
    <w:rsid w:val="008C6E1C"/>
    <w:rsid w:val="008C7E39"/>
    <w:rsid w:val="008D2995"/>
    <w:rsid w:val="008E3677"/>
    <w:rsid w:val="008E54CD"/>
    <w:rsid w:val="008E688A"/>
    <w:rsid w:val="008F0939"/>
    <w:rsid w:val="008F38EF"/>
    <w:rsid w:val="008F4337"/>
    <w:rsid w:val="00910747"/>
    <w:rsid w:val="0092002F"/>
    <w:rsid w:val="00923CA2"/>
    <w:rsid w:val="0092404E"/>
    <w:rsid w:val="00926930"/>
    <w:rsid w:val="0093463D"/>
    <w:rsid w:val="00943071"/>
    <w:rsid w:val="00950416"/>
    <w:rsid w:val="00955B0E"/>
    <w:rsid w:val="009637A8"/>
    <w:rsid w:val="00970C56"/>
    <w:rsid w:val="009712A9"/>
    <w:rsid w:val="00974B58"/>
    <w:rsid w:val="00993621"/>
    <w:rsid w:val="009A65E0"/>
    <w:rsid w:val="009B02BB"/>
    <w:rsid w:val="009B08EE"/>
    <w:rsid w:val="009B1D1B"/>
    <w:rsid w:val="009B20DC"/>
    <w:rsid w:val="009B4D56"/>
    <w:rsid w:val="009C090A"/>
    <w:rsid w:val="009C0D86"/>
    <w:rsid w:val="009C0DAF"/>
    <w:rsid w:val="009C269C"/>
    <w:rsid w:val="009D31DD"/>
    <w:rsid w:val="009D665D"/>
    <w:rsid w:val="009D6794"/>
    <w:rsid w:val="009E0B77"/>
    <w:rsid w:val="009E3917"/>
    <w:rsid w:val="009F1523"/>
    <w:rsid w:val="009F153A"/>
    <w:rsid w:val="009F411F"/>
    <w:rsid w:val="009F6DB2"/>
    <w:rsid w:val="00A054A4"/>
    <w:rsid w:val="00A17593"/>
    <w:rsid w:val="00A20B47"/>
    <w:rsid w:val="00A2331C"/>
    <w:rsid w:val="00A24321"/>
    <w:rsid w:val="00A25F36"/>
    <w:rsid w:val="00A27393"/>
    <w:rsid w:val="00A30514"/>
    <w:rsid w:val="00A325B8"/>
    <w:rsid w:val="00A328E4"/>
    <w:rsid w:val="00A334CC"/>
    <w:rsid w:val="00A33D27"/>
    <w:rsid w:val="00A40B26"/>
    <w:rsid w:val="00A42511"/>
    <w:rsid w:val="00A43F47"/>
    <w:rsid w:val="00A45936"/>
    <w:rsid w:val="00A466C3"/>
    <w:rsid w:val="00A47842"/>
    <w:rsid w:val="00A47C1D"/>
    <w:rsid w:val="00A53087"/>
    <w:rsid w:val="00A53F59"/>
    <w:rsid w:val="00A56529"/>
    <w:rsid w:val="00A56E66"/>
    <w:rsid w:val="00A576DE"/>
    <w:rsid w:val="00A5799A"/>
    <w:rsid w:val="00A60AA6"/>
    <w:rsid w:val="00A63DA5"/>
    <w:rsid w:val="00A66771"/>
    <w:rsid w:val="00A708D0"/>
    <w:rsid w:val="00A70D01"/>
    <w:rsid w:val="00A71254"/>
    <w:rsid w:val="00A76BB5"/>
    <w:rsid w:val="00A81563"/>
    <w:rsid w:val="00A94C7C"/>
    <w:rsid w:val="00A95344"/>
    <w:rsid w:val="00A973A8"/>
    <w:rsid w:val="00AA16BD"/>
    <w:rsid w:val="00AA48B5"/>
    <w:rsid w:val="00AA7ACE"/>
    <w:rsid w:val="00AA7C29"/>
    <w:rsid w:val="00AB7E36"/>
    <w:rsid w:val="00AC3177"/>
    <w:rsid w:val="00AC5FE8"/>
    <w:rsid w:val="00AC69A0"/>
    <w:rsid w:val="00AD1B71"/>
    <w:rsid w:val="00AD44C8"/>
    <w:rsid w:val="00AD5CA0"/>
    <w:rsid w:val="00AD7B50"/>
    <w:rsid w:val="00AE1AF1"/>
    <w:rsid w:val="00AE3224"/>
    <w:rsid w:val="00AE67BF"/>
    <w:rsid w:val="00AE72F6"/>
    <w:rsid w:val="00AE7C12"/>
    <w:rsid w:val="00AF22E7"/>
    <w:rsid w:val="00AF452E"/>
    <w:rsid w:val="00B0136C"/>
    <w:rsid w:val="00B03362"/>
    <w:rsid w:val="00B04A6D"/>
    <w:rsid w:val="00B140E0"/>
    <w:rsid w:val="00B16F65"/>
    <w:rsid w:val="00B226E5"/>
    <w:rsid w:val="00B24F30"/>
    <w:rsid w:val="00B25F1D"/>
    <w:rsid w:val="00B26D76"/>
    <w:rsid w:val="00B2767D"/>
    <w:rsid w:val="00B3165A"/>
    <w:rsid w:val="00B34CC9"/>
    <w:rsid w:val="00B3790E"/>
    <w:rsid w:val="00B40C04"/>
    <w:rsid w:val="00B44B81"/>
    <w:rsid w:val="00B46FE8"/>
    <w:rsid w:val="00B47B9C"/>
    <w:rsid w:val="00B506C0"/>
    <w:rsid w:val="00B536E2"/>
    <w:rsid w:val="00B550B0"/>
    <w:rsid w:val="00B570A2"/>
    <w:rsid w:val="00B57795"/>
    <w:rsid w:val="00B63656"/>
    <w:rsid w:val="00B714B4"/>
    <w:rsid w:val="00B73838"/>
    <w:rsid w:val="00B7464F"/>
    <w:rsid w:val="00B7612E"/>
    <w:rsid w:val="00B77B39"/>
    <w:rsid w:val="00B8283F"/>
    <w:rsid w:val="00B84809"/>
    <w:rsid w:val="00B873DD"/>
    <w:rsid w:val="00B9357D"/>
    <w:rsid w:val="00B9389A"/>
    <w:rsid w:val="00B93DA4"/>
    <w:rsid w:val="00BA26B9"/>
    <w:rsid w:val="00BA4A17"/>
    <w:rsid w:val="00BA5E7A"/>
    <w:rsid w:val="00BA7B5D"/>
    <w:rsid w:val="00BB7BF5"/>
    <w:rsid w:val="00BC1F9C"/>
    <w:rsid w:val="00BC21C3"/>
    <w:rsid w:val="00BC7CA4"/>
    <w:rsid w:val="00BD3EF2"/>
    <w:rsid w:val="00BE0CB5"/>
    <w:rsid w:val="00BE1300"/>
    <w:rsid w:val="00BE42CC"/>
    <w:rsid w:val="00BE4310"/>
    <w:rsid w:val="00BF1209"/>
    <w:rsid w:val="00BF1AEB"/>
    <w:rsid w:val="00C01462"/>
    <w:rsid w:val="00C05901"/>
    <w:rsid w:val="00C15DC5"/>
    <w:rsid w:val="00C27DA6"/>
    <w:rsid w:val="00C31A65"/>
    <w:rsid w:val="00C32FA1"/>
    <w:rsid w:val="00C34575"/>
    <w:rsid w:val="00C34ED9"/>
    <w:rsid w:val="00C35A39"/>
    <w:rsid w:val="00C36A68"/>
    <w:rsid w:val="00C4038A"/>
    <w:rsid w:val="00C423D8"/>
    <w:rsid w:val="00C464FE"/>
    <w:rsid w:val="00C46A58"/>
    <w:rsid w:val="00C470BD"/>
    <w:rsid w:val="00C50ABC"/>
    <w:rsid w:val="00C51064"/>
    <w:rsid w:val="00C51A89"/>
    <w:rsid w:val="00C53FD6"/>
    <w:rsid w:val="00C544DC"/>
    <w:rsid w:val="00C54B4E"/>
    <w:rsid w:val="00C56432"/>
    <w:rsid w:val="00C57BA1"/>
    <w:rsid w:val="00C57F68"/>
    <w:rsid w:val="00C616B5"/>
    <w:rsid w:val="00C627C3"/>
    <w:rsid w:val="00C6370A"/>
    <w:rsid w:val="00C65024"/>
    <w:rsid w:val="00C67DB2"/>
    <w:rsid w:val="00C76B73"/>
    <w:rsid w:val="00C80053"/>
    <w:rsid w:val="00C80A85"/>
    <w:rsid w:val="00C84D74"/>
    <w:rsid w:val="00C93EAF"/>
    <w:rsid w:val="00CA3441"/>
    <w:rsid w:val="00CA4B18"/>
    <w:rsid w:val="00CA5AF6"/>
    <w:rsid w:val="00CA7EF1"/>
    <w:rsid w:val="00CB1C8E"/>
    <w:rsid w:val="00CB4E44"/>
    <w:rsid w:val="00CC1AEA"/>
    <w:rsid w:val="00CC3DE4"/>
    <w:rsid w:val="00CC60DC"/>
    <w:rsid w:val="00CC6CD4"/>
    <w:rsid w:val="00CC7C07"/>
    <w:rsid w:val="00CD3537"/>
    <w:rsid w:val="00CD430C"/>
    <w:rsid w:val="00CE04EA"/>
    <w:rsid w:val="00CE2403"/>
    <w:rsid w:val="00CE6A03"/>
    <w:rsid w:val="00CE773D"/>
    <w:rsid w:val="00CE7DFA"/>
    <w:rsid w:val="00D0139B"/>
    <w:rsid w:val="00D06CEA"/>
    <w:rsid w:val="00D16408"/>
    <w:rsid w:val="00D1676E"/>
    <w:rsid w:val="00D21C56"/>
    <w:rsid w:val="00D31E4F"/>
    <w:rsid w:val="00D339DF"/>
    <w:rsid w:val="00D420A5"/>
    <w:rsid w:val="00D5585F"/>
    <w:rsid w:val="00D575B3"/>
    <w:rsid w:val="00D603A2"/>
    <w:rsid w:val="00D64212"/>
    <w:rsid w:val="00D64DB3"/>
    <w:rsid w:val="00D6664F"/>
    <w:rsid w:val="00D71C50"/>
    <w:rsid w:val="00D80117"/>
    <w:rsid w:val="00D90F57"/>
    <w:rsid w:val="00D91818"/>
    <w:rsid w:val="00D9366E"/>
    <w:rsid w:val="00DA1E15"/>
    <w:rsid w:val="00DA4EC5"/>
    <w:rsid w:val="00DA768A"/>
    <w:rsid w:val="00DC2ECC"/>
    <w:rsid w:val="00DD0706"/>
    <w:rsid w:val="00DD5140"/>
    <w:rsid w:val="00DE0F58"/>
    <w:rsid w:val="00DE26D4"/>
    <w:rsid w:val="00DF2F72"/>
    <w:rsid w:val="00DF3665"/>
    <w:rsid w:val="00DF4054"/>
    <w:rsid w:val="00DF5541"/>
    <w:rsid w:val="00E02D93"/>
    <w:rsid w:val="00E03754"/>
    <w:rsid w:val="00E0385D"/>
    <w:rsid w:val="00E1029E"/>
    <w:rsid w:val="00E12A24"/>
    <w:rsid w:val="00E24D79"/>
    <w:rsid w:val="00E24F18"/>
    <w:rsid w:val="00E25ADD"/>
    <w:rsid w:val="00E3054B"/>
    <w:rsid w:val="00E30FC8"/>
    <w:rsid w:val="00E335D8"/>
    <w:rsid w:val="00E378D3"/>
    <w:rsid w:val="00E404DC"/>
    <w:rsid w:val="00E45C72"/>
    <w:rsid w:val="00E54703"/>
    <w:rsid w:val="00E719C1"/>
    <w:rsid w:val="00E75BCD"/>
    <w:rsid w:val="00E87303"/>
    <w:rsid w:val="00E95746"/>
    <w:rsid w:val="00EA21C1"/>
    <w:rsid w:val="00EA325F"/>
    <w:rsid w:val="00EA4950"/>
    <w:rsid w:val="00EA5DB0"/>
    <w:rsid w:val="00EB5B6B"/>
    <w:rsid w:val="00EC198B"/>
    <w:rsid w:val="00ED1D9A"/>
    <w:rsid w:val="00ED3A3C"/>
    <w:rsid w:val="00ED5829"/>
    <w:rsid w:val="00ED615E"/>
    <w:rsid w:val="00ED6A47"/>
    <w:rsid w:val="00EE2749"/>
    <w:rsid w:val="00EF2EF2"/>
    <w:rsid w:val="00EF3AFC"/>
    <w:rsid w:val="00EF5AE9"/>
    <w:rsid w:val="00EF6CFF"/>
    <w:rsid w:val="00EF7199"/>
    <w:rsid w:val="00F10F7A"/>
    <w:rsid w:val="00F14E5B"/>
    <w:rsid w:val="00F15881"/>
    <w:rsid w:val="00F1684E"/>
    <w:rsid w:val="00F207B0"/>
    <w:rsid w:val="00F23D46"/>
    <w:rsid w:val="00F24184"/>
    <w:rsid w:val="00F2595C"/>
    <w:rsid w:val="00F25CE5"/>
    <w:rsid w:val="00F3170C"/>
    <w:rsid w:val="00F373E9"/>
    <w:rsid w:val="00F5632A"/>
    <w:rsid w:val="00F6273C"/>
    <w:rsid w:val="00F63741"/>
    <w:rsid w:val="00F64A8F"/>
    <w:rsid w:val="00F66656"/>
    <w:rsid w:val="00F80D6B"/>
    <w:rsid w:val="00F80F92"/>
    <w:rsid w:val="00F91003"/>
    <w:rsid w:val="00F93000"/>
    <w:rsid w:val="00F93ABE"/>
    <w:rsid w:val="00F95AAF"/>
    <w:rsid w:val="00FA249C"/>
    <w:rsid w:val="00FA26D6"/>
    <w:rsid w:val="00FA2D1C"/>
    <w:rsid w:val="00FB40DF"/>
    <w:rsid w:val="00FB63C0"/>
    <w:rsid w:val="00FB7999"/>
    <w:rsid w:val="00FC1603"/>
    <w:rsid w:val="00FC7139"/>
    <w:rsid w:val="00FD2ADC"/>
    <w:rsid w:val="00FD4908"/>
    <w:rsid w:val="00FE1538"/>
    <w:rsid w:val="00FE3955"/>
    <w:rsid w:val="00FE4ECE"/>
    <w:rsid w:val="00FF04EC"/>
    <w:rsid w:val="00FF1923"/>
    <w:rsid w:val="00FF49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802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6F72"/>
    <w:pPr>
      <w:ind w:left="720"/>
      <w:contextualSpacing/>
    </w:pPr>
  </w:style>
  <w:style w:type="character" w:styleId="Hipervnculo">
    <w:name w:val="Hyperlink"/>
    <w:basedOn w:val="Fuentedeprrafopredeter"/>
    <w:uiPriority w:val="99"/>
    <w:unhideWhenUsed/>
    <w:rsid w:val="00993621"/>
    <w:rPr>
      <w:color w:val="0000FF" w:themeColor="hyperlink"/>
      <w:u w:val="single"/>
    </w:rPr>
  </w:style>
  <w:style w:type="paragraph" w:styleId="Encabezado">
    <w:name w:val="header"/>
    <w:basedOn w:val="Normal"/>
    <w:link w:val="EncabezadoCar"/>
    <w:uiPriority w:val="99"/>
    <w:semiHidden/>
    <w:unhideWhenUsed/>
    <w:rsid w:val="005839AD"/>
    <w:pPr>
      <w:tabs>
        <w:tab w:val="center" w:pos="4419"/>
        <w:tab w:val="right" w:pos="8838"/>
      </w:tabs>
    </w:pPr>
  </w:style>
  <w:style w:type="character" w:customStyle="1" w:styleId="EncabezadoCar">
    <w:name w:val="Encabezado Car"/>
    <w:basedOn w:val="Fuentedeprrafopredeter"/>
    <w:link w:val="Encabezado"/>
    <w:uiPriority w:val="99"/>
    <w:semiHidden/>
    <w:rsid w:val="005839A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839AD"/>
    <w:pPr>
      <w:tabs>
        <w:tab w:val="center" w:pos="4419"/>
        <w:tab w:val="right" w:pos="8838"/>
      </w:tabs>
    </w:pPr>
  </w:style>
  <w:style w:type="character" w:customStyle="1" w:styleId="PiedepginaCar">
    <w:name w:val="Pie de página Car"/>
    <w:basedOn w:val="Fuentedeprrafopredeter"/>
    <w:link w:val="Piedepgina"/>
    <w:uiPriority w:val="99"/>
    <w:rsid w:val="005839AD"/>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nhideWhenUsed/>
    <w:rsid w:val="00BF1AEB"/>
    <w:rPr>
      <w:sz w:val="20"/>
      <w:szCs w:val="20"/>
    </w:rPr>
  </w:style>
  <w:style w:type="character" w:customStyle="1" w:styleId="TextonotapieCar">
    <w:name w:val="Texto nota pie Car"/>
    <w:basedOn w:val="Fuentedeprrafopredeter"/>
    <w:link w:val="Textonotapie"/>
    <w:rsid w:val="00BF1AEB"/>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unhideWhenUsed/>
    <w:rsid w:val="00BF1AEB"/>
    <w:rPr>
      <w:vertAlign w:val="superscript"/>
    </w:rPr>
  </w:style>
  <w:style w:type="paragraph" w:styleId="Textodeglobo">
    <w:name w:val="Balloon Text"/>
    <w:basedOn w:val="Normal"/>
    <w:link w:val="TextodegloboCar"/>
    <w:uiPriority w:val="99"/>
    <w:semiHidden/>
    <w:unhideWhenUsed/>
    <w:rsid w:val="00ED5829"/>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829"/>
    <w:rPr>
      <w:rFonts w:ascii="Tahoma" w:eastAsia="Times New Roman" w:hAnsi="Tahoma" w:cs="Tahoma"/>
      <w:sz w:val="16"/>
      <w:szCs w:val="16"/>
      <w:lang w:val="es-ES" w:eastAsia="es-ES"/>
    </w:rPr>
  </w:style>
  <w:style w:type="paragraph" w:customStyle="1" w:styleId="TEXTO">
    <w:name w:val="TEXTO"/>
    <w:rsid w:val="00CE6A03"/>
    <w:pPr>
      <w:autoSpaceDE w:val="0"/>
      <w:autoSpaceDN w:val="0"/>
      <w:adjustRightInd w:val="0"/>
      <w:spacing w:after="0" w:line="240" w:lineRule="atLeast"/>
      <w:ind w:firstLine="283"/>
      <w:jc w:val="both"/>
    </w:pPr>
    <w:rPr>
      <w:rFonts w:ascii="Verdana" w:eastAsia="Times New Roman" w:hAnsi="Verdana" w:cs="Verdana"/>
      <w:color w:val="000000"/>
      <w:sz w:val="20"/>
      <w:szCs w:val="20"/>
      <w:lang w:val="es-ES" w:eastAsia="es-ES"/>
    </w:rPr>
  </w:style>
  <w:style w:type="character" w:styleId="CitaHTML">
    <w:name w:val="HTML Cite"/>
    <w:basedOn w:val="Fuentedeprrafopredeter"/>
    <w:uiPriority w:val="99"/>
    <w:semiHidden/>
    <w:unhideWhenUsed/>
    <w:rsid w:val="00B2767D"/>
    <w:rPr>
      <w:i/>
      <w:iCs/>
    </w:rPr>
  </w:style>
  <w:style w:type="paragraph" w:styleId="Listaconvietas">
    <w:name w:val="List Bullet"/>
    <w:basedOn w:val="Normal"/>
    <w:uiPriority w:val="99"/>
    <w:unhideWhenUsed/>
    <w:rsid w:val="00092FF8"/>
    <w:pPr>
      <w:numPr>
        <w:numId w:val="7"/>
      </w:numPr>
      <w:contextualSpacing/>
    </w:pPr>
  </w:style>
  <w:style w:type="paragraph" w:styleId="NormalWeb">
    <w:name w:val="Normal (Web)"/>
    <w:basedOn w:val="Normal"/>
    <w:uiPriority w:val="99"/>
    <w:semiHidden/>
    <w:unhideWhenUsed/>
    <w:rsid w:val="008972DD"/>
    <w:pPr>
      <w:spacing w:before="100" w:beforeAutospacing="1" w:after="100" w:afterAutospacing="1"/>
    </w:pPr>
  </w:style>
  <w:style w:type="character" w:styleId="Textoennegrita">
    <w:name w:val="Strong"/>
    <w:basedOn w:val="Fuentedeprrafopredeter"/>
    <w:uiPriority w:val="22"/>
    <w:qFormat/>
    <w:rsid w:val="008972DD"/>
    <w:rPr>
      <w:b/>
      <w:bCs/>
    </w:rPr>
  </w:style>
  <w:style w:type="character" w:styleId="Refdecomentario">
    <w:name w:val="annotation reference"/>
    <w:basedOn w:val="Fuentedeprrafopredeter"/>
    <w:uiPriority w:val="99"/>
    <w:semiHidden/>
    <w:unhideWhenUsed/>
    <w:rsid w:val="00B26D76"/>
    <w:rPr>
      <w:sz w:val="16"/>
      <w:szCs w:val="16"/>
    </w:rPr>
  </w:style>
  <w:style w:type="paragraph" w:styleId="Textocomentario">
    <w:name w:val="annotation text"/>
    <w:basedOn w:val="Normal"/>
    <w:link w:val="TextocomentarioCar"/>
    <w:uiPriority w:val="99"/>
    <w:unhideWhenUsed/>
    <w:rsid w:val="00B26D76"/>
    <w:rPr>
      <w:sz w:val="20"/>
      <w:szCs w:val="20"/>
    </w:rPr>
  </w:style>
  <w:style w:type="character" w:customStyle="1" w:styleId="TextocomentarioCar">
    <w:name w:val="Texto comentario Car"/>
    <w:basedOn w:val="Fuentedeprrafopredeter"/>
    <w:link w:val="Textocomentario"/>
    <w:uiPriority w:val="99"/>
    <w:rsid w:val="00B26D7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26D76"/>
    <w:rPr>
      <w:b/>
      <w:bCs/>
    </w:rPr>
  </w:style>
  <w:style w:type="character" w:customStyle="1" w:styleId="AsuntodelcomentarioCar">
    <w:name w:val="Asunto del comentario Car"/>
    <w:basedOn w:val="TextocomentarioCar"/>
    <w:link w:val="Asuntodelcomentario"/>
    <w:uiPriority w:val="99"/>
    <w:semiHidden/>
    <w:rsid w:val="00B26D76"/>
    <w:rPr>
      <w:b/>
      <w:bCs/>
    </w:rPr>
  </w:style>
  <w:style w:type="character" w:customStyle="1" w:styleId="hps">
    <w:name w:val="hps"/>
    <w:basedOn w:val="Fuentedeprrafopredeter"/>
    <w:rsid w:val="00A43F47"/>
  </w:style>
  <w:style w:type="character" w:customStyle="1" w:styleId="st">
    <w:name w:val="st"/>
    <w:basedOn w:val="Fuentedeprrafopredeter"/>
    <w:rsid w:val="005A43DC"/>
  </w:style>
  <w:style w:type="character" w:customStyle="1" w:styleId="citation">
    <w:name w:val="citation"/>
    <w:basedOn w:val="Fuentedeprrafopredeter"/>
    <w:rsid w:val="004A7BAF"/>
  </w:style>
  <w:style w:type="character" w:customStyle="1" w:styleId="personname">
    <w:name w:val="person_name"/>
    <w:basedOn w:val="Fuentedeprrafopredeter"/>
    <w:rsid w:val="004A7BAF"/>
  </w:style>
  <w:style w:type="character" w:customStyle="1" w:styleId="date">
    <w:name w:val="date"/>
    <w:basedOn w:val="Fuentedeprrafopredeter"/>
    <w:rsid w:val="004A7BAF"/>
  </w:style>
  <w:style w:type="character" w:customStyle="1" w:styleId="title">
    <w:name w:val="title"/>
    <w:basedOn w:val="Fuentedeprrafopredeter"/>
    <w:rsid w:val="004A7BAF"/>
  </w:style>
  <w:style w:type="character" w:styleId="nfasis">
    <w:name w:val="Emphasis"/>
    <w:basedOn w:val="Fuentedeprrafopredeter"/>
    <w:uiPriority w:val="20"/>
    <w:qFormat/>
    <w:rsid w:val="004A7BAF"/>
    <w:rPr>
      <w:i/>
      <w:iCs/>
    </w:rPr>
  </w:style>
  <w:style w:type="character" w:customStyle="1" w:styleId="volume">
    <w:name w:val="volume"/>
    <w:basedOn w:val="Fuentedeprrafopredeter"/>
    <w:rsid w:val="004A7BAF"/>
  </w:style>
  <w:style w:type="character" w:customStyle="1" w:styleId="number">
    <w:name w:val="number"/>
    <w:basedOn w:val="Fuentedeprrafopredeter"/>
    <w:rsid w:val="004A7BAF"/>
  </w:style>
  <w:style w:type="character" w:customStyle="1" w:styleId="pagerange">
    <w:name w:val="pagerange"/>
    <w:basedOn w:val="Fuentedeprrafopredeter"/>
    <w:rsid w:val="004A7BAF"/>
  </w:style>
  <w:style w:type="paragraph" w:customStyle="1" w:styleId="Pa5">
    <w:name w:val="Pa5"/>
    <w:basedOn w:val="Normal"/>
    <w:next w:val="Normal"/>
    <w:uiPriority w:val="99"/>
    <w:rsid w:val="008C2EF2"/>
    <w:pPr>
      <w:autoSpaceDE w:val="0"/>
      <w:autoSpaceDN w:val="0"/>
      <w:adjustRightInd w:val="0"/>
      <w:spacing w:line="241" w:lineRule="atLeast"/>
    </w:pPr>
    <w:rPr>
      <w:rFonts w:ascii="Garamond Premr Pro" w:eastAsiaTheme="minorHAnsi" w:hAnsi="Garamond Premr Pro" w:cstheme="minorBidi"/>
      <w:lang w:val="es-MX" w:eastAsia="en-US"/>
    </w:rPr>
  </w:style>
  <w:style w:type="paragraph" w:customStyle="1" w:styleId="NormalArial">
    <w:name w:val="Normal + Arial"/>
    <w:aliases w:val="12 pt Car,Normal + Arial1 Car,Normal + Arial2,12 pt Car1 Car Car,12 pt Car1 Car Car Car Car,Normal + Arial1,12 pt Car1,Normal + Arial1 Car1,Normal + Arial21,12 pt Car1 Car Car1 Car Car Car,Normal + Arial3,12 pt Car2,Normal + Arial1 Car2 C"/>
    <w:basedOn w:val="Normal"/>
    <w:rsid w:val="004C02B6"/>
    <w:pPr>
      <w:ind w:left="284" w:hanging="284"/>
      <w:jc w:val="both"/>
    </w:pPr>
    <w:rPr>
      <w:rFonts w:ascii="Arial" w:hAnsi="Arial" w:cs="Arial"/>
      <w:lang w:val="es-ES_tradnl"/>
    </w:rPr>
  </w:style>
  <w:style w:type="character" w:customStyle="1" w:styleId="goohl0">
    <w:name w:val="goohl0"/>
    <w:basedOn w:val="Fuentedeprrafopredeter"/>
    <w:rsid w:val="004C02B6"/>
  </w:style>
  <w:style w:type="table" w:styleId="Tablaconcuadrcula">
    <w:name w:val="Table Grid"/>
    <w:basedOn w:val="Tablanormal"/>
    <w:uiPriority w:val="59"/>
    <w:rsid w:val="002E7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ptCar1CarCar1CarCar">
    <w:name w:val="12 pt Car1 Car Car1 Car Car"/>
    <w:basedOn w:val="Normal"/>
    <w:rsid w:val="00BE4310"/>
    <w:pPr>
      <w:ind w:left="284" w:hanging="284"/>
      <w:jc w:val="both"/>
    </w:pPr>
    <w:rPr>
      <w:rFonts w:ascii="Arial" w:hAnsi="Arial" w:cs="Arial"/>
      <w:lang w:val="es-ES_tradnl"/>
    </w:rPr>
  </w:style>
</w:styles>
</file>

<file path=word/webSettings.xml><?xml version="1.0" encoding="utf-8"?>
<w:webSettings xmlns:r="http://schemas.openxmlformats.org/officeDocument/2006/relationships" xmlns:w="http://schemas.openxmlformats.org/wordprocessingml/2006/main">
  <w:divs>
    <w:div w:id="950014541">
      <w:bodyDiv w:val="1"/>
      <w:marLeft w:val="0"/>
      <w:marRight w:val="0"/>
      <w:marTop w:val="0"/>
      <w:marBottom w:val="0"/>
      <w:divBdr>
        <w:top w:val="none" w:sz="0" w:space="0" w:color="auto"/>
        <w:left w:val="none" w:sz="0" w:space="0" w:color="auto"/>
        <w:bottom w:val="none" w:sz="0" w:space="0" w:color="auto"/>
        <w:right w:val="none" w:sz="0" w:space="0" w:color="auto"/>
      </w:divBdr>
    </w:div>
    <w:div w:id="962462232">
      <w:bodyDiv w:val="1"/>
      <w:marLeft w:val="0"/>
      <w:marRight w:val="0"/>
      <w:marTop w:val="0"/>
      <w:marBottom w:val="0"/>
      <w:divBdr>
        <w:top w:val="none" w:sz="0" w:space="0" w:color="auto"/>
        <w:left w:val="none" w:sz="0" w:space="0" w:color="auto"/>
        <w:bottom w:val="none" w:sz="0" w:space="0" w:color="auto"/>
        <w:right w:val="none" w:sz="0" w:space="0" w:color="auto"/>
      </w:divBdr>
      <w:divsChild>
        <w:div w:id="848913765">
          <w:marLeft w:val="547"/>
          <w:marRight w:val="0"/>
          <w:marTop w:val="106"/>
          <w:marBottom w:val="0"/>
          <w:divBdr>
            <w:top w:val="none" w:sz="0" w:space="0" w:color="auto"/>
            <w:left w:val="none" w:sz="0" w:space="0" w:color="auto"/>
            <w:bottom w:val="none" w:sz="0" w:space="0" w:color="auto"/>
            <w:right w:val="none" w:sz="0" w:space="0" w:color="auto"/>
          </w:divBdr>
        </w:div>
        <w:div w:id="1807427790">
          <w:marLeft w:val="1094"/>
          <w:marRight w:val="0"/>
          <w:marTop w:val="96"/>
          <w:marBottom w:val="0"/>
          <w:divBdr>
            <w:top w:val="none" w:sz="0" w:space="0" w:color="auto"/>
            <w:left w:val="none" w:sz="0" w:space="0" w:color="auto"/>
            <w:bottom w:val="none" w:sz="0" w:space="0" w:color="auto"/>
            <w:right w:val="none" w:sz="0" w:space="0" w:color="auto"/>
          </w:divBdr>
        </w:div>
        <w:div w:id="204566616">
          <w:marLeft w:val="1094"/>
          <w:marRight w:val="0"/>
          <w:marTop w:val="96"/>
          <w:marBottom w:val="0"/>
          <w:divBdr>
            <w:top w:val="none" w:sz="0" w:space="0" w:color="auto"/>
            <w:left w:val="none" w:sz="0" w:space="0" w:color="auto"/>
            <w:bottom w:val="none" w:sz="0" w:space="0" w:color="auto"/>
            <w:right w:val="none" w:sz="0" w:space="0" w:color="auto"/>
          </w:divBdr>
        </w:div>
        <w:div w:id="193421577">
          <w:marLeft w:val="1094"/>
          <w:marRight w:val="0"/>
          <w:marTop w:val="96"/>
          <w:marBottom w:val="0"/>
          <w:divBdr>
            <w:top w:val="none" w:sz="0" w:space="0" w:color="auto"/>
            <w:left w:val="none" w:sz="0" w:space="0" w:color="auto"/>
            <w:bottom w:val="none" w:sz="0" w:space="0" w:color="auto"/>
            <w:right w:val="none" w:sz="0" w:space="0" w:color="auto"/>
          </w:divBdr>
        </w:div>
        <w:div w:id="1001003042">
          <w:marLeft w:val="1094"/>
          <w:marRight w:val="0"/>
          <w:marTop w:val="96"/>
          <w:marBottom w:val="0"/>
          <w:divBdr>
            <w:top w:val="none" w:sz="0" w:space="0" w:color="auto"/>
            <w:left w:val="none" w:sz="0" w:space="0" w:color="auto"/>
            <w:bottom w:val="none" w:sz="0" w:space="0" w:color="auto"/>
            <w:right w:val="none" w:sz="0" w:space="0" w:color="auto"/>
          </w:divBdr>
        </w:div>
        <w:div w:id="1568805985">
          <w:marLeft w:val="1094"/>
          <w:marRight w:val="0"/>
          <w:marTop w:val="96"/>
          <w:marBottom w:val="0"/>
          <w:divBdr>
            <w:top w:val="none" w:sz="0" w:space="0" w:color="auto"/>
            <w:left w:val="none" w:sz="0" w:space="0" w:color="auto"/>
            <w:bottom w:val="none" w:sz="0" w:space="0" w:color="auto"/>
            <w:right w:val="none" w:sz="0" w:space="0" w:color="auto"/>
          </w:divBdr>
        </w:div>
        <w:div w:id="1565678323">
          <w:marLeft w:val="1094"/>
          <w:marRight w:val="0"/>
          <w:marTop w:val="96"/>
          <w:marBottom w:val="0"/>
          <w:divBdr>
            <w:top w:val="none" w:sz="0" w:space="0" w:color="auto"/>
            <w:left w:val="none" w:sz="0" w:space="0" w:color="auto"/>
            <w:bottom w:val="none" w:sz="0" w:space="0" w:color="auto"/>
            <w:right w:val="none" w:sz="0" w:space="0" w:color="auto"/>
          </w:divBdr>
        </w:div>
      </w:divsChild>
    </w:div>
    <w:div w:id="1416125567">
      <w:bodyDiv w:val="1"/>
      <w:marLeft w:val="0"/>
      <w:marRight w:val="0"/>
      <w:marTop w:val="0"/>
      <w:marBottom w:val="0"/>
      <w:divBdr>
        <w:top w:val="none" w:sz="0" w:space="0" w:color="auto"/>
        <w:left w:val="none" w:sz="0" w:space="0" w:color="auto"/>
        <w:bottom w:val="none" w:sz="0" w:space="0" w:color="auto"/>
        <w:right w:val="none" w:sz="0" w:space="0" w:color="auto"/>
      </w:divBdr>
    </w:div>
    <w:div w:id="1727991248">
      <w:bodyDiv w:val="1"/>
      <w:marLeft w:val="0"/>
      <w:marRight w:val="0"/>
      <w:marTop w:val="0"/>
      <w:marBottom w:val="0"/>
      <w:divBdr>
        <w:top w:val="none" w:sz="0" w:space="0" w:color="auto"/>
        <w:left w:val="none" w:sz="0" w:space="0" w:color="auto"/>
        <w:bottom w:val="none" w:sz="0" w:space="0" w:color="auto"/>
        <w:right w:val="none" w:sz="0" w:space="0" w:color="auto"/>
      </w:divBdr>
    </w:div>
    <w:div w:id="19033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Lan921</b:Tag>
    <b:SourceType>JournalArticle</b:SourceType>
    <b:Guid>{370EFEE3-4D0D-4C1C-AC50-032D977AD18F}</b:Guid>
    <b:Title>Political Culture or General Theory</b:Title>
    <b:Year>1992</b:Year>
    <b:Author>
      <b:Author>
        <b:NameList>
          <b:Person>
            <b:Last>Lane</b:Last>
            <b:First>Ruth</b:First>
          </b:Person>
        </b:NameList>
      </b:Author>
    </b:Author>
    <b:JournalName>Comparative political studies</b:JournalName>
    <b:Pages>362-387</b:Pages>
    <b:RefOrder>91</b:RefOrder>
  </b:Source>
  <b:Source>
    <b:Tag>Pye97</b:Tag>
    <b:SourceType>Book</b:SourceType>
    <b:Guid>{478C4641-26EE-41F2-87D3-A75BB7533298}</b:Guid>
    <b:Title>Cultura Política</b:Title>
    <b:Year>1997</b:Year>
    <b:City>Madrid</b:City>
    <b:Publisher>Aguilar</b:Publisher>
    <b:Author>
      <b:Author>
        <b:NameList>
          <b:Person>
            <b:Last>Pye</b:Last>
            <b:First>L.</b:First>
          </b:Person>
        </b:NameList>
      </b:Author>
    </b:Author>
    <b:RefOrder>87</b:RefOrder>
  </b:Source>
  <b:Source>
    <b:Tag>San81</b:Tag>
    <b:SourceType>BookSection</b:SourceType>
    <b:Guid>{8CBCA34F-3828-40B2-8018-56D345B9AA15}</b:Guid>
    <b:Title>Cultura Política</b:Title>
    <b:Year>1995</b:Year>
    <b:City>México</b:City>
    <b:Publisher>Siglo XXI</b:Publisher>
    <b:Author>
      <b:Author>
        <b:NameList>
          <b:Person>
            <b:Last>Sani</b:Last>
            <b:First>Giacomo</b:First>
          </b:Person>
        </b:NameList>
      </b:Author>
      <b:BookAuthor>
        <b:NameList>
          <b:Person>
            <b:Last>Bobbio</b:Last>
            <b:First>Norberto</b:First>
          </b:Person>
          <b:Person>
            <b:Last>Matteucci</b:Last>
            <b:First>Nicolás</b:First>
          </b:Person>
        </b:NameList>
      </b:BookAuthor>
    </b:Author>
    <b:BookTitle>Diccionario de Ciencia Política</b:BookTitle>
    <b:RefOrder>88</b:RefOrder>
  </b:Source>
  <b:Source>
    <b:Tag>Alv91</b:Tag>
    <b:SourceType>JournalArticle</b:SourceType>
    <b:Guid>{B0FC90B7-81AE-44EA-A964-89EEE3A14F85}</b:Guid>
    <b:Title>Elecciones, Participación y Cultura Política: Cambios y continuidad</b:Title>
    <b:Year>1991</b:Year>
    <b:Author>
      <b:Author>
        <b:NameList>
          <b:Person>
            <b:Last>Alvaro Moisés</b:Last>
            <b:First>Jose</b:First>
          </b:Person>
        </b:NameList>
      </b:Author>
    </b:Author>
    <b:JournalName>Reis</b:JournalName>
    <b:RefOrder>98</b:RefOrder>
  </b:Source>
  <b:Source>
    <b:Tag>Alt032</b:Tag>
    <b:SourceType>Book</b:SourceType>
    <b:Guid>{C67EEA5A-B9AC-4082-AD09-01EB7FF10138}</b:Guid>
    <b:Title>Collective Preferences in Democratic Politics</b:Title>
    <b:Year>2003</b:Year>
    <b:Author>
      <b:Author>
        <b:NameList>
          <b:Person>
            <b:Last>Althaus</b:Last>
            <b:First>Scott</b:First>
          </b:Person>
        </b:NameList>
      </b:Author>
    </b:Author>
    <b:City>Cambridge</b:City>
    <b:Publisher>Cambridge University Press</b:Publisher>
    <b:RefOrder>101</b:RefOrder>
  </b:Source>
  <b:Source>
    <b:Tag>Del96</b:Tag>
    <b:SourceType>Book</b:SourceType>
    <b:Guid>{71C5F914-86C8-4CCF-ABA4-08EFC0232B23}</b:Guid>
    <b:Title>What americans know about politics and why it matters.</b:Title>
    <b:Year>1996</b:Year>
    <b:Publisher>Yale University Press.</b:Publisher>
    <b:City>New Haven</b:City>
    <b:Author>
      <b:Author>
        <b:NameList>
          <b:Person>
            <b:Last>Delli Caprini</b:Last>
            <b:First>M.</b:First>
          </b:Person>
          <b:Person>
            <b:Last>Keeter</b:Last>
            <b:First>S.</b:First>
          </b:Person>
        </b:NameList>
      </b:Author>
    </b:Author>
    <b:RefOrder>102</b:RefOrder>
  </b:Source>
  <b:Source>
    <b:Tag>Bru08</b:Tag>
    <b:SourceType>JournalArticle</b:SourceType>
    <b:Guid>{8FCA4FBF-02AF-4CB0-B789-26E5E0E12FC9}</b:Guid>
    <b:Title>Características psicométricas de la medición del conocimiento político.</b:Title>
    <b:Year>2008</b:Year>
    <b:Author>
      <b:Author>
        <b:NameList>
          <b:Person>
            <b:Last>Brussino</b:Last>
            <b:First>S.</b:First>
          </b:Person>
          <b:Person>
            <b:Last>Sorribas</b:Last>
            <b:First>P.</b:First>
          </b:Person>
          <b:Person>
            <b:Last>Medrano</b:Last>
            <b:First>L.</b:First>
          </b:Person>
        </b:NameList>
      </b:Author>
    </b:Author>
    <b:JournalName>Revista Iberoamericana de Diagnóstico y Evaluación Psicológica</b:JournalName>
    <b:Pages>179-192</b:Pages>
    <b:RefOrder>103</b:RefOrder>
  </b:Source>
  <b:Source>
    <b:Tag>Lus901</b:Tag>
    <b:SourceType>JournalArticle</b:SourceType>
    <b:Guid>{D23B0993-0F4A-4540-9FD8-B22674ED64EF}</b:Guid>
    <b:Author>
      <b:Author>
        <b:NameList>
          <b:Person>
            <b:Last>Luskin</b:Last>
            <b:First>Robert</b:First>
          </b:Person>
        </b:NameList>
      </b:Author>
    </b:Author>
    <b:Title>Measuring Political Sophistication</b:Title>
    <b:JournalName>American Journal of Political Science</b:JournalName>
    <b:Year>1990</b:Year>
    <b:Pages>856-857</b:Pages>
    <b:RefOrder>104</b:RefOrder>
  </b:Source>
  <b:Source>
    <b:Tag>Zal92</b:Tag>
    <b:SourceType>Book</b:SourceType>
    <b:Guid>{B3FCE3B1-AB8A-45F3-B1B7-1C2271C752ED}</b:Guid>
    <b:Title>The Nature and Origins of Mass Opinion</b:Title>
    <b:Year>1992</b:Year>
    <b:Author>
      <b:Author>
        <b:NameList>
          <b:Person>
            <b:Last>Zaller</b:Last>
            <b:First>Jhonn</b:First>
          </b:Person>
        </b:NameList>
      </b:Author>
    </b:Author>
    <b:City>Cambridge</b:City>
    <b:Publisher>University Press.</b:Publisher>
    <b:RefOrder>105</b:RefOrder>
  </b:Source>
  <b:Source>
    <b:Tag>Dur93</b:Tag>
    <b:SourceType>Book</b:SourceType>
    <b:Guid>{86EEC9FB-0EC2-4650-8C26-66F328605A61}</b:Guid>
    <b:Author>
      <b:Author>
        <b:NameList>
          <b:Person>
            <b:Last>Durand</b:Last>
            <b:First>Ponte,</b:First>
            <b:Middle>Victor Manuel</b:Middle>
          </b:Person>
        </b:NameList>
      </b:Author>
    </b:Author>
    <b:Title>La ciudadanpia y la Cultura Política en México</b:Title>
    <b:Year>1993</b:Year>
    <b:City>México</b:City>
    <b:RefOrder>99</b:RefOrder>
  </b:Source>
</b:Sources>
</file>

<file path=customXml/itemProps1.xml><?xml version="1.0" encoding="utf-8"?>
<ds:datastoreItem xmlns:ds="http://schemas.openxmlformats.org/officeDocument/2006/customXml" ds:itemID="{986C104D-EEE6-407F-B858-414D30CA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15</Pages>
  <Words>6856</Words>
  <Characters>37713</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Muñiz Muriel</dc:creator>
  <cp:lastModifiedBy>carmuniz04</cp:lastModifiedBy>
  <cp:revision>14</cp:revision>
  <cp:lastPrinted>2013-07-29T00:11:00Z</cp:lastPrinted>
  <dcterms:created xsi:type="dcterms:W3CDTF">2013-08-01T04:33:00Z</dcterms:created>
  <dcterms:modified xsi:type="dcterms:W3CDTF">2013-08-05T00:02:00Z</dcterms:modified>
</cp:coreProperties>
</file>