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Programa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Julio 28, Sesión 1 – ¿Por qué experimentos?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Gerber and Green, Chapter 1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Gerber, Alan S., Donald P. Green, and Edward H. Kaplan. 2004. “The Illusion of Learning from Observational Research.” In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i/>
          <w:iCs/>
          <w:color w:val="222222"/>
          <w:sz w:val="18"/>
          <w:szCs w:val="18"/>
          <w:lang w:val="en-US"/>
        </w:rPr>
        <w:t>Problems and Methods in the Study of Politics</w:t>
      </w: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, ed. I. Shapiro, R. Smith and T. Massoud. Cambridge: Cambridge University Press, pp. 251-73.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Julio 28, Sesión 2 – Resultados Potenciales, Inferencia Causal y Validez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Gerber and Green, Chapters 2 and 3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McDermott, Rose. 2009. “Internal and External Validity.” In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i/>
          <w:iCs/>
          <w:color w:val="222222"/>
          <w:sz w:val="18"/>
          <w:szCs w:val="18"/>
          <w:lang w:val="en-US"/>
        </w:rPr>
        <w:t>Cambridge Handbook of Experimental Political Science</w:t>
      </w: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 xml:space="preserve">, eds. James N. Druckman, Donald P. Green, James H. Kuklinski and Arthur Lupia. </w:t>
      </w:r>
      <w:r>
        <w:rPr>
          <w:rFonts w:ascii="Verdana" w:hAnsi="Verdana" w:cs="Arial"/>
          <w:color w:val="222222"/>
          <w:sz w:val="18"/>
          <w:szCs w:val="18"/>
        </w:rPr>
        <w:t>Cambridge: Cambridge University Press, pp. 27-40.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i/>
          <w:iCs/>
          <w:color w:val="222222"/>
          <w:sz w:val="18"/>
          <w:szCs w:val="18"/>
        </w:rPr>
        <w:t>Distribución del 1º Repartido de Problemas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Julio 29, Sesión 1 – Tipos de Experimentos: Ventajas y Tradeoffs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- Dunning, Thad. 2012.</w:t>
      </w:r>
      <w:r>
        <w:rPr>
          <w:rStyle w:val="apple-converted-space"/>
          <w:rFonts w:ascii="Verdana" w:hAnsi="Verdana" w:cs="Arial"/>
          <w:color w:val="222222"/>
          <w:sz w:val="18"/>
          <w:szCs w:val="18"/>
        </w:rPr>
        <w:t> </w:t>
      </w:r>
      <w:r>
        <w:rPr>
          <w:rFonts w:ascii="Verdana" w:hAnsi="Verdana" w:cs="Arial"/>
          <w:i/>
          <w:iCs/>
          <w:color w:val="222222"/>
          <w:sz w:val="18"/>
          <w:szCs w:val="18"/>
        </w:rPr>
        <w:t>Natural Experiments in the Social Sciences</w:t>
      </w:r>
      <w:r>
        <w:rPr>
          <w:rFonts w:ascii="Verdana" w:hAnsi="Verdana" w:cs="Arial"/>
          <w:color w:val="222222"/>
          <w:sz w:val="18"/>
          <w:szCs w:val="18"/>
        </w:rPr>
        <w:t>. Cambridge: Cambridge University Press, Chapter 2.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- Iyengar, Shanto. 2009. “Laboratory Experiments in Political Science.” In</w:t>
      </w:r>
      <w:r>
        <w:rPr>
          <w:rStyle w:val="apple-converted-space"/>
          <w:rFonts w:ascii="Verdana" w:hAnsi="Verdana" w:cs="Arial"/>
          <w:color w:val="222222"/>
          <w:sz w:val="18"/>
          <w:szCs w:val="18"/>
        </w:rPr>
        <w:t> </w:t>
      </w:r>
      <w:r>
        <w:rPr>
          <w:rFonts w:ascii="Verdana" w:hAnsi="Verdana" w:cs="Arial"/>
          <w:i/>
          <w:iCs/>
          <w:color w:val="222222"/>
          <w:sz w:val="18"/>
          <w:szCs w:val="18"/>
        </w:rPr>
        <w:t>Cambridge Handbook of Experimental Political Science</w:t>
      </w:r>
      <w:r>
        <w:rPr>
          <w:rFonts w:ascii="Verdana" w:hAnsi="Verdana" w:cs="Arial"/>
          <w:color w:val="222222"/>
          <w:sz w:val="18"/>
          <w:szCs w:val="18"/>
        </w:rPr>
        <w:t>, eds. James N. Druckman, Donald P. Green, James H. Kuklinski and Arthur Lupia. Cambridge: Cambridge University Press, pp. 73-88.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- Sniderman, Paul M. 2011. “The Logic and Design of the Survey Experiment: An Autobiography of a Methodological Innovation.” In</w:t>
      </w:r>
      <w:r>
        <w:rPr>
          <w:rStyle w:val="apple-converted-space"/>
          <w:rFonts w:ascii="Verdana" w:hAnsi="Verdana" w:cs="Arial"/>
          <w:color w:val="222222"/>
          <w:sz w:val="18"/>
          <w:szCs w:val="18"/>
        </w:rPr>
        <w:t> </w:t>
      </w:r>
      <w:r>
        <w:rPr>
          <w:rFonts w:ascii="Verdana" w:hAnsi="Verdana" w:cs="Arial"/>
          <w:i/>
          <w:iCs/>
          <w:color w:val="222222"/>
          <w:sz w:val="18"/>
          <w:szCs w:val="18"/>
        </w:rPr>
        <w:t>Cambridge Handbook of Experimental Political Science</w:t>
      </w:r>
      <w:r>
        <w:rPr>
          <w:rFonts w:ascii="Verdana" w:hAnsi="Verdana" w:cs="Arial"/>
          <w:color w:val="222222"/>
          <w:sz w:val="18"/>
          <w:szCs w:val="18"/>
        </w:rPr>
        <w:t>, ed. J. N. Druckman, D. P. Green, J. H. Kuklinski and A. Lupia. Cambridge: Cambridge University Press, pp. 102-14.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Julio 29, Sesión 2 – Noncompliance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- Gerber and Green, Chapters 5 and 6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- Clingingsmith, David, AsimIjazKhwaja, and Michael Kremer. 2009. “Estimating the Impact of the Hajj: Religion and Tolerance in Islam's Global Gathering.”</w:t>
      </w:r>
      <w:r>
        <w:rPr>
          <w:rStyle w:val="apple-converted-space"/>
          <w:rFonts w:ascii="Verdana" w:hAnsi="Verdana" w:cs="Arial"/>
          <w:color w:val="222222"/>
          <w:sz w:val="18"/>
          <w:szCs w:val="18"/>
        </w:rPr>
        <w:t> </w:t>
      </w:r>
      <w:r>
        <w:rPr>
          <w:rFonts w:ascii="Verdana" w:hAnsi="Verdana" w:cs="Arial"/>
          <w:i/>
          <w:iCs/>
          <w:color w:val="222222"/>
          <w:sz w:val="18"/>
          <w:szCs w:val="18"/>
        </w:rPr>
        <w:t>Quarterly Journal of Economics</w:t>
      </w:r>
      <w:r>
        <w:rPr>
          <w:rFonts w:ascii="Verdana" w:hAnsi="Verdana" w:cs="Arial"/>
          <w:color w:val="222222"/>
          <w:sz w:val="18"/>
          <w:szCs w:val="18"/>
        </w:rPr>
        <w:t>124 (3): 1133-70.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color w:val="222222"/>
          <w:sz w:val="18"/>
          <w:szCs w:val="18"/>
        </w:rPr>
        <w:t>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i/>
          <w:iCs/>
          <w:color w:val="222222"/>
          <w:sz w:val="18"/>
          <w:szCs w:val="18"/>
        </w:rPr>
        <w:t>Distribución del 2º Repartido de Problemas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b/>
          <w:bCs/>
          <w:color w:val="222222"/>
          <w:sz w:val="18"/>
          <w:szCs w:val="18"/>
          <w:lang w:val="en-US"/>
        </w:rPr>
        <w:t>Julio 30, Sesión 1 – Interferencia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Gerber and Green, Chapter 8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Nickerson, David W. 2008. “Is Voting Contagious? Evidence from Two Field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Experiments.”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i/>
          <w:iCs/>
          <w:color w:val="222222"/>
          <w:sz w:val="18"/>
          <w:szCs w:val="18"/>
          <w:lang w:val="en-US"/>
        </w:rPr>
        <w:t>American Political Science Review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102 (1): 49-57.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222222"/>
          <w:sz w:val="18"/>
          <w:szCs w:val="18"/>
        </w:rPr>
        <w:t>Julio 30, Sesión 2 – Cuestiones Emergentes: Efectos de Tratamiento Heterogéneos, Mediación, Post-Tratamiento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Gerber and Green, Chapters 9 and 10 </w:t>
      </w:r>
    </w:p>
    <w:p w:rsidR="00444230" w:rsidRP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  <w:lang w:val="en-US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Lupu, Noam. 2013. “Party Brands and Partisanship: Theory with Evidence from a Survey Experiment in Argentina.”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i/>
          <w:iCs/>
          <w:color w:val="222222"/>
          <w:sz w:val="18"/>
          <w:szCs w:val="18"/>
          <w:lang w:val="en-US"/>
        </w:rPr>
        <w:t>American Journal of Political Science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57 (1): 49-64. </w:t>
      </w:r>
    </w:p>
    <w:p w:rsidR="00444230" w:rsidRDefault="00444230" w:rsidP="0044423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>- Stokes, Susan C. 2013. “A Defense of Observational Research.” In</w:t>
      </w:r>
      <w:r w:rsidRPr="00444230">
        <w:rPr>
          <w:rStyle w:val="apple-converted-space"/>
          <w:rFonts w:ascii="Verdana" w:hAnsi="Verdana" w:cs="Arial"/>
          <w:color w:val="222222"/>
          <w:sz w:val="18"/>
          <w:szCs w:val="18"/>
          <w:lang w:val="en-US"/>
        </w:rPr>
        <w:t> </w:t>
      </w:r>
      <w:r w:rsidRPr="00444230">
        <w:rPr>
          <w:rFonts w:ascii="Verdana" w:hAnsi="Verdana" w:cs="Arial"/>
          <w:i/>
          <w:iCs/>
          <w:color w:val="222222"/>
          <w:sz w:val="18"/>
          <w:szCs w:val="18"/>
          <w:lang w:val="en-US"/>
        </w:rPr>
        <w:t>Field Experiments and Their Critics: Essays on the Uses and Abuses of Experimentation in the Social Sciences</w:t>
      </w:r>
      <w:r w:rsidRPr="00444230">
        <w:rPr>
          <w:rFonts w:ascii="Verdana" w:hAnsi="Verdana" w:cs="Arial"/>
          <w:color w:val="222222"/>
          <w:sz w:val="18"/>
          <w:szCs w:val="18"/>
          <w:lang w:val="en-US"/>
        </w:rPr>
        <w:t xml:space="preserve">, ed. </w:t>
      </w:r>
      <w:r>
        <w:rPr>
          <w:rFonts w:ascii="Verdana" w:hAnsi="Verdana" w:cs="Arial"/>
          <w:color w:val="222222"/>
          <w:sz w:val="18"/>
          <w:szCs w:val="18"/>
        </w:rPr>
        <w:t>Dawn LanganTeele. New Haven: Yale University Press. </w:t>
      </w:r>
    </w:p>
    <w:p w:rsidR="00344DCD" w:rsidRDefault="00344DCD"/>
    <w:sectPr w:rsidR="00344DCD" w:rsidSect="00344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444230"/>
    <w:rsid w:val="00344DCD"/>
    <w:rsid w:val="0044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444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808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Lore</cp:lastModifiedBy>
  <cp:revision>1</cp:revision>
  <dcterms:created xsi:type="dcterms:W3CDTF">2014-06-23T17:32:00Z</dcterms:created>
  <dcterms:modified xsi:type="dcterms:W3CDTF">2014-06-23T17:32:00Z</dcterms:modified>
</cp:coreProperties>
</file>